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0B" w:rsidRPr="00FF3F16" w:rsidRDefault="000C200B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Na temelju članka 160. stavka 2. Statuta Grada Zagreba (Službeni glasnik Grada Zagreba 23/16, 2/18 i 23/18) i članka 20. stavka 5. Odluke o uređenju prometa (Službeni glasnik Grada Zagreba 21/14, 9/15 i 20/18), uz prethodnu suglasnost Ministarstva unutarnjih poslova, gradonačelnik Grada Zagreba, ________2019., donosi</w:t>
      </w:r>
    </w:p>
    <w:p w:rsidR="00F44485" w:rsidRDefault="00F44485" w:rsidP="00BC5010">
      <w:pPr>
        <w:spacing w:after="0"/>
        <w:jc w:val="center"/>
        <w:rPr>
          <w:b/>
          <w:color w:val="auto"/>
          <w:szCs w:val="24"/>
        </w:rPr>
      </w:pPr>
    </w:p>
    <w:p w:rsidR="000C200B" w:rsidRPr="00FF3F16" w:rsidRDefault="000C200B" w:rsidP="00BC5010">
      <w:pPr>
        <w:spacing w:after="0"/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NAREDBU</w:t>
      </w:r>
    </w:p>
    <w:p w:rsidR="000C200B" w:rsidRPr="00FF3F16" w:rsidRDefault="000C200B" w:rsidP="00BC5010">
      <w:pPr>
        <w:spacing w:after="0"/>
        <w:jc w:val="center"/>
        <w:rPr>
          <w:b/>
          <w:color w:val="auto"/>
          <w:szCs w:val="24"/>
        </w:rPr>
      </w:pPr>
      <w:bookmarkStart w:id="0" w:name="_Hlk4590882"/>
      <w:r w:rsidRPr="00FF3F16">
        <w:rPr>
          <w:b/>
          <w:color w:val="auto"/>
          <w:szCs w:val="24"/>
        </w:rPr>
        <w:t>o uvjetima prometovanja vozila u središnjem dijelu Grada Zagreba</w:t>
      </w:r>
    </w:p>
    <w:bookmarkEnd w:id="0"/>
    <w:p w:rsidR="00F44485" w:rsidRDefault="00F44485" w:rsidP="0070089C">
      <w:pPr>
        <w:jc w:val="center"/>
        <w:rPr>
          <w:b/>
          <w:color w:val="auto"/>
          <w:szCs w:val="24"/>
        </w:rPr>
      </w:pPr>
    </w:p>
    <w:p w:rsidR="000C200B" w:rsidRPr="00FF3F16" w:rsidRDefault="000C200B" w:rsidP="0070089C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1.</w:t>
      </w:r>
    </w:p>
    <w:p w:rsidR="000C200B" w:rsidRPr="00FF3F16" w:rsidRDefault="000C200B" w:rsidP="0070089C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Ovom se naredbom određuje područje središnjeg dijela Grada Zagreba, pješačke zone, uvjeti prometovanja vozila te uvjeti za izdavanje i rok važenja dozvole za prometovanje vozila.</w:t>
      </w:r>
    </w:p>
    <w:p w:rsidR="000C200B" w:rsidRPr="00FF3F16" w:rsidRDefault="000C200B" w:rsidP="0070089C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2.</w:t>
      </w:r>
    </w:p>
    <w:p w:rsidR="000C200B" w:rsidRPr="00FF3F16" w:rsidRDefault="000C200B" w:rsidP="0070089C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Područje središnjeg dijela Grada Zagreba omeđeno je Ulicom Republike Austrije od Ilice do Ulice Vatroslava Jagića, Ulicom Vatroslava Jagića do Ulice Božidara </w:t>
      </w:r>
      <w:proofErr w:type="spellStart"/>
      <w:r w:rsidRPr="00FF3F16">
        <w:rPr>
          <w:color w:val="auto"/>
          <w:szCs w:val="24"/>
        </w:rPr>
        <w:t>Adžije</w:t>
      </w:r>
      <w:proofErr w:type="spellEnd"/>
      <w:r w:rsidRPr="00FF3F16">
        <w:rPr>
          <w:color w:val="auto"/>
          <w:szCs w:val="24"/>
        </w:rPr>
        <w:t xml:space="preserve">, Ulicom Božidara </w:t>
      </w:r>
      <w:proofErr w:type="spellStart"/>
      <w:r w:rsidRPr="00FF3F16">
        <w:rPr>
          <w:color w:val="auto"/>
          <w:szCs w:val="24"/>
        </w:rPr>
        <w:t>Adžije</w:t>
      </w:r>
      <w:proofErr w:type="spellEnd"/>
      <w:r w:rsidRPr="00FF3F16">
        <w:rPr>
          <w:color w:val="auto"/>
          <w:szCs w:val="24"/>
        </w:rPr>
        <w:t xml:space="preserve"> do Nove ceste, Novom cestom do Ulice Silvija </w:t>
      </w:r>
      <w:proofErr w:type="spellStart"/>
      <w:r w:rsidRPr="00FF3F16">
        <w:rPr>
          <w:color w:val="auto"/>
          <w:szCs w:val="24"/>
        </w:rPr>
        <w:t>Strahimira</w:t>
      </w:r>
      <w:proofErr w:type="spellEnd"/>
      <w:r w:rsidRPr="00FF3F16">
        <w:rPr>
          <w:color w:val="auto"/>
          <w:szCs w:val="24"/>
        </w:rPr>
        <w:t xml:space="preserve"> Kranjčevića, Ulicom Silvija </w:t>
      </w:r>
      <w:proofErr w:type="spellStart"/>
      <w:r w:rsidRPr="00FF3F16">
        <w:rPr>
          <w:color w:val="auto"/>
          <w:szCs w:val="24"/>
        </w:rPr>
        <w:t>Strahimira</w:t>
      </w:r>
      <w:proofErr w:type="spellEnd"/>
      <w:r w:rsidRPr="00FF3F16">
        <w:rPr>
          <w:color w:val="auto"/>
          <w:szCs w:val="24"/>
        </w:rPr>
        <w:t xml:space="preserve"> Kranjčevića do Ulice </w:t>
      </w:r>
      <w:proofErr w:type="spellStart"/>
      <w:r w:rsidRPr="00FF3F16">
        <w:rPr>
          <w:color w:val="auto"/>
          <w:szCs w:val="24"/>
        </w:rPr>
        <w:t>Florijana</w:t>
      </w:r>
      <w:proofErr w:type="spellEnd"/>
      <w:r w:rsidRPr="00FF3F16">
        <w:rPr>
          <w:color w:val="auto"/>
          <w:szCs w:val="24"/>
        </w:rPr>
        <w:t xml:space="preserve"> Andrašeca, Ulicom </w:t>
      </w:r>
      <w:proofErr w:type="spellStart"/>
      <w:r w:rsidRPr="00FF3F16">
        <w:rPr>
          <w:color w:val="auto"/>
          <w:szCs w:val="24"/>
        </w:rPr>
        <w:t>Florijana</w:t>
      </w:r>
      <w:proofErr w:type="spellEnd"/>
      <w:r w:rsidRPr="00FF3F16">
        <w:rPr>
          <w:color w:val="auto"/>
          <w:szCs w:val="24"/>
        </w:rPr>
        <w:t xml:space="preserve"> Andrašeca do Ulice grada Vukovara, Ulicom grada Vukovara do Avenije Marina Držića, Avenijom Marina Držića do Ulice kneza Branimira, Ulicom kneza Branimira do Ulice Vjekoslava </w:t>
      </w:r>
      <w:proofErr w:type="spellStart"/>
      <w:r w:rsidRPr="00FF3F16">
        <w:rPr>
          <w:color w:val="auto"/>
          <w:szCs w:val="24"/>
        </w:rPr>
        <w:t>Heinzela</w:t>
      </w:r>
      <w:proofErr w:type="spellEnd"/>
      <w:r w:rsidRPr="00FF3F16">
        <w:rPr>
          <w:color w:val="auto"/>
          <w:szCs w:val="24"/>
        </w:rPr>
        <w:t xml:space="preserve">, Ulicom Vjekoslava </w:t>
      </w:r>
      <w:proofErr w:type="spellStart"/>
      <w:r w:rsidRPr="00FF3F16">
        <w:rPr>
          <w:color w:val="auto"/>
          <w:szCs w:val="24"/>
        </w:rPr>
        <w:t>Heinzela</w:t>
      </w:r>
      <w:proofErr w:type="spellEnd"/>
      <w:r w:rsidRPr="00FF3F16">
        <w:rPr>
          <w:color w:val="auto"/>
          <w:szCs w:val="24"/>
        </w:rPr>
        <w:t xml:space="preserve"> do Trga Eugena Kvaternika, Trgom Eugena Kvaternika do Ulice Dragutina </w:t>
      </w:r>
      <w:proofErr w:type="spellStart"/>
      <w:r w:rsidRPr="00FF3F16">
        <w:rPr>
          <w:color w:val="auto"/>
          <w:szCs w:val="24"/>
        </w:rPr>
        <w:t>Domjanića</w:t>
      </w:r>
      <w:proofErr w:type="spellEnd"/>
      <w:r w:rsidRPr="00FF3F16">
        <w:rPr>
          <w:color w:val="auto"/>
          <w:szCs w:val="24"/>
        </w:rPr>
        <w:t xml:space="preserve">, Ulicom Dragutina </w:t>
      </w:r>
      <w:proofErr w:type="spellStart"/>
      <w:r w:rsidRPr="00FF3F16">
        <w:rPr>
          <w:color w:val="auto"/>
          <w:szCs w:val="24"/>
        </w:rPr>
        <w:t>Domjanića</w:t>
      </w:r>
      <w:proofErr w:type="spellEnd"/>
      <w:r w:rsidRPr="00FF3F16">
        <w:rPr>
          <w:color w:val="auto"/>
          <w:szCs w:val="24"/>
        </w:rPr>
        <w:t xml:space="preserve"> do Voćarske ceste, Voćarskom cestom do </w:t>
      </w:r>
      <w:proofErr w:type="spellStart"/>
      <w:r w:rsidRPr="00FF3F16">
        <w:rPr>
          <w:color w:val="auto"/>
          <w:szCs w:val="24"/>
        </w:rPr>
        <w:t>Bijeničke</w:t>
      </w:r>
      <w:proofErr w:type="spellEnd"/>
      <w:r w:rsidRPr="00FF3F16">
        <w:rPr>
          <w:color w:val="auto"/>
          <w:szCs w:val="24"/>
        </w:rPr>
        <w:t xml:space="preserve"> ceste, </w:t>
      </w:r>
      <w:proofErr w:type="spellStart"/>
      <w:r w:rsidRPr="00FF3F16">
        <w:rPr>
          <w:color w:val="auto"/>
          <w:szCs w:val="24"/>
        </w:rPr>
        <w:t>Bijeničkom</w:t>
      </w:r>
      <w:proofErr w:type="spellEnd"/>
      <w:r w:rsidRPr="00FF3F16">
        <w:rPr>
          <w:color w:val="auto"/>
          <w:szCs w:val="24"/>
        </w:rPr>
        <w:t xml:space="preserve"> cestom do Aleje </w:t>
      </w:r>
      <w:proofErr w:type="spellStart"/>
      <w:r w:rsidRPr="00FF3F16">
        <w:rPr>
          <w:color w:val="auto"/>
          <w:szCs w:val="24"/>
        </w:rPr>
        <w:t>Hermanna</w:t>
      </w:r>
      <w:proofErr w:type="spellEnd"/>
      <w:r w:rsidRPr="00FF3F16">
        <w:rPr>
          <w:color w:val="auto"/>
          <w:szCs w:val="24"/>
        </w:rPr>
        <w:t xml:space="preserve"> Bollea, Alejom </w:t>
      </w:r>
      <w:proofErr w:type="spellStart"/>
      <w:r w:rsidRPr="00FF3F16">
        <w:rPr>
          <w:color w:val="auto"/>
          <w:szCs w:val="24"/>
        </w:rPr>
        <w:t>Hermanna</w:t>
      </w:r>
      <w:proofErr w:type="spellEnd"/>
      <w:r w:rsidRPr="00FF3F16">
        <w:rPr>
          <w:color w:val="auto"/>
          <w:szCs w:val="24"/>
        </w:rPr>
        <w:t xml:space="preserve"> Bollea do Mirogojske ceste, Mirogojsk</w:t>
      </w:r>
      <w:r w:rsidR="00251AB5" w:rsidRPr="00FF3F16">
        <w:rPr>
          <w:color w:val="auto"/>
          <w:szCs w:val="24"/>
        </w:rPr>
        <w:t xml:space="preserve">om cestom do </w:t>
      </w:r>
      <w:proofErr w:type="spellStart"/>
      <w:r w:rsidR="00251AB5" w:rsidRPr="00FF3F16">
        <w:rPr>
          <w:color w:val="auto"/>
          <w:szCs w:val="24"/>
        </w:rPr>
        <w:t>Gupčeve</w:t>
      </w:r>
      <w:proofErr w:type="spellEnd"/>
      <w:r w:rsidR="00251AB5" w:rsidRPr="00FF3F16">
        <w:rPr>
          <w:color w:val="auto"/>
          <w:szCs w:val="24"/>
        </w:rPr>
        <w:t xml:space="preserve"> zvijezde, </w:t>
      </w:r>
      <w:proofErr w:type="spellStart"/>
      <w:r w:rsidRPr="00FF3F16">
        <w:rPr>
          <w:color w:val="auto"/>
          <w:szCs w:val="24"/>
        </w:rPr>
        <w:t>Gupčevom</w:t>
      </w:r>
      <w:proofErr w:type="spellEnd"/>
      <w:r w:rsidRPr="00FF3F16">
        <w:rPr>
          <w:color w:val="auto"/>
          <w:szCs w:val="24"/>
        </w:rPr>
        <w:t xml:space="preserve"> zvijezdom do Ulice Antuna Vrančića, Ulicom Antuna Vrančića do Mlina</w:t>
      </w:r>
      <w:r w:rsidR="00960DA8" w:rsidRPr="00FF3F16">
        <w:rPr>
          <w:color w:val="auto"/>
          <w:szCs w:val="24"/>
        </w:rPr>
        <w:t>rske ceste,</w:t>
      </w:r>
      <w:r w:rsidRPr="00FF3F16">
        <w:rPr>
          <w:color w:val="auto"/>
          <w:szCs w:val="24"/>
        </w:rPr>
        <w:t xml:space="preserve"> Mlinarskom cestom do </w:t>
      </w:r>
      <w:proofErr w:type="spellStart"/>
      <w:r w:rsidRPr="00FF3F16">
        <w:rPr>
          <w:color w:val="auto"/>
          <w:szCs w:val="24"/>
        </w:rPr>
        <w:t>Jurjevske</w:t>
      </w:r>
      <w:proofErr w:type="spellEnd"/>
      <w:r w:rsidRPr="00FF3F16">
        <w:rPr>
          <w:color w:val="auto"/>
          <w:szCs w:val="24"/>
        </w:rPr>
        <w:t xml:space="preserve"> ulice, </w:t>
      </w:r>
      <w:proofErr w:type="spellStart"/>
      <w:r w:rsidRPr="00FF3F16">
        <w:rPr>
          <w:color w:val="auto"/>
          <w:szCs w:val="24"/>
        </w:rPr>
        <w:t>Jurjevskom</w:t>
      </w:r>
      <w:proofErr w:type="spellEnd"/>
      <w:r w:rsidRPr="00FF3F16">
        <w:rPr>
          <w:color w:val="auto"/>
          <w:szCs w:val="24"/>
        </w:rPr>
        <w:t xml:space="preserve"> ulicom do Ilirskog trga, Ilirskim trgom do Opatičke ulice, Opatičkom ulicom do </w:t>
      </w:r>
      <w:proofErr w:type="spellStart"/>
      <w:r w:rsidRPr="00FF3F16">
        <w:rPr>
          <w:color w:val="auto"/>
          <w:szCs w:val="24"/>
        </w:rPr>
        <w:t>Demetrove</w:t>
      </w:r>
      <w:proofErr w:type="spellEnd"/>
      <w:r w:rsidRPr="00FF3F16">
        <w:rPr>
          <w:color w:val="auto"/>
          <w:szCs w:val="24"/>
        </w:rPr>
        <w:t xml:space="preserve"> ulice, </w:t>
      </w:r>
      <w:proofErr w:type="spellStart"/>
      <w:r w:rsidRPr="00FF3F16">
        <w:rPr>
          <w:color w:val="auto"/>
          <w:szCs w:val="24"/>
        </w:rPr>
        <w:t>Demetrovom</w:t>
      </w:r>
      <w:proofErr w:type="spellEnd"/>
      <w:r w:rsidRPr="00FF3F16">
        <w:rPr>
          <w:color w:val="auto"/>
          <w:szCs w:val="24"/>
        </w:rPr>
        <w:t xml:space="preserve"> ulicom do Mesničke ulice, Mesničkom ulicom do Ilice, Ilicom do Britanskog trga, Britanskim trgom, Ilicom od Britanskog trga do Ulice Republike Austrije, ne uključujući ulice i trgove kojima je to područje omeđeno (u daljnjem tekstu: središnji dio Grada Zagreba).</w:t>
      </w:r>
    </w:p>
    <w:p w:rsidR="000C200B" w:rsidRPr="00FF3F16" w:rsidRDefault="000C200B" w:rsidP="0070089C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3.</w:t>
      </w:r>
    </w:p>
    <w:p w:rsidR="000C200B" w:rsidRPr="00FF3F16" w:rsidRDefault="000C200B" w:rsidP="0070089C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Pješačka zona određuje se na Trgu bana Josipa Jelačića, u Ilici od Trga bana Josipa Jelačića do Ulice Ivana Gundulića, u Ulici Josipa Eugena Tomića, u Ulici Ivana </w:t>
      </w:r>
      <w:proofErr w:type="spellStart"/>
      <w:r w:rsidRPr="00FF3F16">
        <w:rPr>
          <w:color w:val="auto"/>
          <w:szCs w:val="24"/>
        </w:rPr>
        <w:t>Dežmana</w:t>
      </w:r>
      <w:proofErr w:type="spellEnd"/>
      <w:r w:rsidRPr="00FF3F16">
        <w:rPr>
          <w:color w:val="auto"/>
          <w:szCs w:val="24"/>
        </w:rPr>
        <w:t xml:space="preserve">, u Ulici Sv. Preobraženja, u </w:t>
      </w:r>
      <w:proofErr w:type="spellStart"/>
      <w:r w:rsidRPr="00FF3F16">
        <w:rPr>
          <w:color w:val="auto"/>
          <w:szCs w:val="24"/>
        </w:rPr>
        <w:t>Margaretskoj</w:t>
      </w:r>
      <w:proofErr w:type="spellEnd"/>
      <w:r w:rsidRPr="00FF3F16">
        <w:rPr>
          <w:color w:val="auto"/>
          <w:szCs w:val="24"/>
        </w:rPr>
        <w:t xml:space="preserve"> ulici, u Ulici Frane Petrića, u Ulici Ljudevita Gaja od Trga bana Josipa Jelačića do Ulice Nikole Tesle, u Praškoj ulici od Trga bana Josipa Jelačića do k.br. 5, na Trgu Petra Preradovića, u Ulici Mirka Bogovića, u Ulici Petra Preradovića od Trga Petra Preradovića do Ulice </w:t>
      </w:r>
      <w:proofErr w:type="spellStart"/>
      <w:r w:rsidRPr="00FF3F16">
        <w:rPr>
          <w:color w:val="auto"/>
          <w:szCs w:val="24"/>
        </w:rPr>
        <w:t>Tomaša</w:t>
      </w:r>
      <w:proofErr w:type="spellEnd"/>
      <w:r w:rsidRPr="00FF3F16">
        <w:rPr>
          <w:color w:val="auto"/>
          <w:szCs w:val="24"/>
        </w:rPr>
        <w:t xml:space="preserve"> </w:t>
      </w:r>
      <w:proofErr w:type="spellStart"/>
      <w:r w:rsidRPr="00FF3F16">
        <w:rPr>
          <w:color w:val="auto"/>
          <w:szCs w:val="24"/>
        </w:rPr>
        <w:t>Masaryka</w:t>
      </w:r>
      <w:proofErr w:type="spellEnd"/>
      <w:r w:rsidRPr="00FF3F16">
        <w:rPr>
          <w:color w:val="auto"/>
          <w:szCs w:val="24"/>
        </w:rPr>
        <w:t xml:space="preserve">, u Ulici Nikole Tesle od Ulice Petra Preradovića do Ulice Ljudevita Gaja, u Varšavskoj ulici od Trga Petra Preradovića do Ulice Ivana Gundulića, u Prolazu sestara Baković, u Ulici Nikole Jurišića od Trga bana Josipa Jelačića do Trga hrvatskih velikana, na Trgu hrvatskih velikana, u Ulici Janka Draškovića od Trga hrvatskih velikana do Vlaške ulice, u ulici Dverce, na Strossmayerovu šetalištu, u Ulici </w:t>
      </w:r>
      <w:r w:rsidRPr="00FF3F16">
        <w:rPr>
          <w:color w:val="auto"/>
          <w:szCs w:val="24"/>
        </w:rPr>
        <w:lastRenderedPageBreak/>
        <w:t>Pavla Radića od Trg</w:t>
      </w:r>
      <w:r w:rsidR="00FF3F16" w:rsidRPr="00FF3F16">
        <w:rPr>
          <w:color w:val="auto"/>
          <w:szCs w:val="24"/>
        </w:rPr>
        <w:t>a bana Josipa Jelačića do Trga B</w:t>
      </w:r>
      <w:r w:rsidRPr="00FF3F16">
        <w:rPr>
          <w:color w:val="auto"/>
          <w:szCs w:val="24"/>
        </w:rPr>
        <w:t xml:space="preserve">raće </w:t>
      </w:r>
      <w:r w:rsidR="007B250F" w:rsidRPr="00FF3F16">
        <w:rPr>
          <w:color w:val="auto"/>
          <w:szCs w:val="24"/>
        </w:rPr>
        <w:t>h</w:t>
      </w:r>
      <w:r w:rsidRPr="00FF3F16">
        <w:rPr>
          <w:color w:val="auto"/>
          <w:szCs w:val="24"/>
        </w:rPr>
        <w:t>rvatskog</w:t>
      </w:r>
      <w:r w:rsidR="00FF3F16" w:rsidRPr="00FF3F16">
        <w:rPr>
          <w:color w:val="auto"/>
          <w:szCs w:val="24"/>
        </w:rPr>
        <w:t>a</w:t>
      </w:r>
      <w:r w:rsidRPr="00FF3F16">
        <w:rPr>
          <w:color w:val="auto"/>
          <w:szCs w:val="24"/>
        </w:rPr>
        <w:t xml:space="preserve"> zmaja, na Splavnici, u Ulici Ivana </w:t>
      </w:r>
      <w:proofErr w:type="spellStart"/>
      <w:r w:rsidRPr="00FF3F16">
        <w:rPr>
          <w:color w:val="auto"/>
          <w:szCs w:val="24"/>
        </w:rPr>
        <w:t>Tkalčića</w:t>
      </w:r>
      <w:proofErr w:type="spellEnd"/>
      <w:r w:rsidRPr="00FF3F16">
        <w:rPr>
          <w:color w:val="auto"/>
          <w:szCs w:val="24"/>
        </w:rPr>
        <w:t xml:space="preserve"> od Splavnice do Ulice Tome </w:t>
      </w:r>
      <w:proofErr w:type="spellStart"/>
      <w:r w:rsidRPr="00FF3F16">
        <w:rPr>
          <w:color w:val="auto"/>
          <w:szCs w:val="24"/>
        </w:rPr>
        <w:t>Mikloušića</w:t>
      </w:r>
      <w:proofErr w:type="spellEnd"/>
      <w:r w:rsidRPr="00FF3F16">
        <w:rPr>
          <w:color w:val="auto"/>
          <w:szCs w:val="24"/>
        </w:rPr>
        <w:t xml:space="preserve">, na Krvavom mostu, na </w:t>
      </w:r>
      <w:proofErr w:type="spellStart"/>
      <w:r w:rsidRPr="00FF3F16">
        <w:rPr>
          <w:color w:val="auto"/>
          <w:szCs w:val="24"/>
        </w:rPr>
        <w:t>Opatovini</w:t>
      </w:r>
      <w:proofErr w:type="spellEnd"/>
      <w:r w:rsidRPr="00FF3F16">
        <w:rPr>
          <w:color w:val="auto"/>
          <w:szCs w:val="24"/>
        </w:rPr>
        <w:t xml:space="preserve">, u </w:t>
      </w:r>
      <w:proofErr w:type="spellStart"/>
      <w:r w:rsidRPr="00FF3F16">
        <w:rPr>
          <w:color w:val="auto"/>
          <w:szCs w:val="24"/>
        </w:rPr>
        <w:t>Skalinskoj</w:t>
      </w:r>
      <w:proofErr w:type="spellEnd"/>
      <w:r w:rsidRPr="00FF3F16">
        <w:rPr>
          <w:color w:val="auto"/>
          <w:szCs w:val="24"/>
        </w:rPr>
        <w:t xml:space="preserve"> ulici, u Bakačevoj ulici od ulice Pod zidom do Ulice Augusta Cesarca, u Ulici Augusta Cesarca, u Ulici Frana Kurelca, u Vlaškoj ulici od Bakačeve ulice do</w:t>
      </w:r>
      <w:r w:rsidR="00D912CA" w:rsidRPr="00FF3F16">
        <w:rPr>
          <w:color w:val="auto"/>
          <w:szCs w:val="24"/>
        </w:rPr>
        <w:t xml:space="preserve"> Palmotićeve u</w:t>
      </w:r>
      <w:r w:rsidRPr="00FF3F16">
        <w:rPr>
          <w:color w:val="auto"/>
          <w:szCs w:val="24"/>
        </w:rPr>
        <w:t xml:space="preserve">lice i Petrinjskom ulicom od Trga bana Josipa Jelačića do Ulice Milana </w:t>
      </w:r>
      <w:proofErr w:type="spellStart"/>
      <w:r w:rsidRPr="00FF3F16">
        <w:rPr>
          <w:color w:val="auto"/>
          <w:szCs w:val="24"/>
        </w:rPr>
        <w:t>Amruša</w:t>
      </w:r>
      <w:proofErr w:type="spellEnd"/>
      <w:r w:rsidRPr="00FF3F16">
        <w:rPr>
          <w:color w:val="auto"/>
          <w:szCs w:val="24"/>
        </w:rPr>
        <w:t xml:space="preserve"> (u daljnjem tekstu: pješačka zona).</w:t>
      </w:r>
    </w:p>
    <w:p w:rsidR="000C200B" w:rsidRPr="00FF3F16" w:rsidRDefault="000C200B" w:rsidP="0070089C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4.</w:t>
      </w:r>
    </w:p>
    <w:p w:rsidR="000C200B" w:rsidRPr="00FF3F16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U središnjem dijelu Grada Zagreba zabranjeno je prometovanje vozilima opskrbe - dostava robe, selidba, za potrebe građevinskih i drugih radova i slično (u daljnjem tekstu: vozila opskrbe) kojima najveća dopuštena masa prelazi 12 tona.</w:t>
      </w:r>
    </w:p>
    <w:p w:rsidR="000C200B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Iznimno</w:t>
      </w:r>
      <w:r w:rsidR="00FF3F16" w:rsidRPr="00FF3F16">
        <w:rPr>
          <w:color w:val="auto"/>
          <w:szCs w:val="24"/>
        </w:rPr>
        <w:t>,</w:t>
      </w:r>
      <w:r w:rsidRPr="00FF3F16">
        <w:rPr>
          <w:color w:val="auto"/>
          <w:szCs w:val="24"/>
        </w:rPr>
        <w:t xml:space="preserve"> vozila opskrbe iz stavka 1. ovoga članka mogu prometovati u središnjem dijelu Grada Zagreba na temelju dozvole za prometovanje vozila koju </w:t>
      </w:r>
      <w:r w:rsidR="00973561" w:rsidRPr="00FF3F16">
        <w:rPr>
          <w:color w:val="auto"/>
          <w:szCs w:val="24"/>
        </w:rPr>
        <w:t xml:space="preserve">na zahtjev </w:t>
      </w:r>
      <w:r w:rsidRPr="00FF3F16">
        <w:rPr>
          <w:color w:val="auto"/>
          <w:szCs w:val="24"/>
        </w:rPr>
        <w:t>izdaje gradsko upr</w:t>
      </w:r>
      <w:r w:rsidR="0070089C" w:rsidRPr="00FF3F16">
        <w:rPr>
          <w:color w:val="auto"/>
          <w:szCs w:val="24"/>
        </w:rPr>
        <w:t>avno tijelo nadležno za promet.</w:t>
      </w:r>
    </w:p>
    <w:p w:rsidR="000C200B" w:rsidRPr="00FF3F16" w:rsidRDefault="000C200B" w:rsidP="0070089C">
      <w:pPr>
        <w:jc w:val="center"/>
        <w:rPr>
          <w:b/>
          <w:color w:val="auto"/>
          <w:szCs w:val="24"/>
        </w:rPr>
      </w:pPr>
      <w:r w:rsidRPr="00DB36E5">
        <w:rPr>
          <w:b/>
          <w:color w:val="auto"/>
          <w:szCs w:val="24"/>
        </w:rPr>
        <w:t>Članak 5.</w:t>
      </w:r>
    </w:p>
    <w:p w:rsidR="000C200B" w:rsidRPr="00FF3F16" w:rsidRDefault="000C200B" w:rsidP="00C11288">
      <w:pPr>
        <w:spacing w:after="0"/>
        <w:ind w:left="708"/>
        <w:rPr>
          <w:color w:val="auto"/>
          <w:szCs w:val="24"/>
        </w:rPr>
      </w:pPr>
      <w:r w:rsidRPr="00FF3F16">
        <w:rPr>
          <w:color w:val="auto"/>
          <w:szCs w:val="24"/>
        </w:rPr>
        <w:t>U pješačkoj zoni zabranjen je promet motornim vozilima.</w:t>
      </w:r>
    </w:p>
    <w:p w:rsidR="00E70B5C" w:rsidRPr="00FF3F16" w:rsidRDefault="00E70B5C" w:rsidP="00C11288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Iznimno</w:t>
      </w:r>
      <w:r w:rsidR="00F41A57">
        <w:rPr>
          <w:color w:val="auto"/>
          <w:szCs w:val="24"/>
        </w:rPr>
        <w:t>,  od stavka 1. ovoga članka</w:t>
      </w:r>
      <w:r w:rsidRPr="00FF3F16">
        <w:rPr>
          <w:color w:val="auto"/>
          <w:szCs w:val="24"/>
        </w:rPr>
        <w:t xml:space="preserve"> dopušteno je ograničeno prometovanje motornih vozila:</w:t>
      </w:r>
    </w:p>
    <w:p w:rsidR="00E70B5C" w:rsidRPr="00FF3F16" w:rsidRDefault="00E70B5C" w:rsidP="006D1C89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fizičkih osoba koje imaju prijavljeno prebivalište u pješačkoj zoni i osigurano parkirališno mjesto za vlastite potrebe u dvorištu ili garaži, radi ulaska i izlaska u dvorište odnosno garažu,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</w:t>
      </w:r>
      <w:bookmarkStart w:id="1" w:name="_Hlk3372392"/>
      <w:r w:rsidRPr="00FF3F16">
        <w:rPr>
          <w:color w:val="auto"/>
          <w:szCs w:val="24"/>
        </w:rPr>
        <w:t>fizičkih osoba koje imaju prijavljeno prebivalište u pješačkoj zoni u koju je ulazak zaštićen podiznim stupićima, a nemaju osigurano parkirališno mjesto za vlastite potrebe u</w:t>
      </w:r>
      <w:r w:rsidR="00C6201A" w:rsidRPr="00FF3F16">
        <w:rPr>
          <w:color w:val="auto"/>
          <w:szCs w:val="24"/>
        </w:rPr>
        <w:t xml:space="preserve"> dvorištu ili garaži</w:t>
      </w:r>
      <w:r w:rsidR="00FF3F16" w:rsidRPr="00FF3F16">
        <w:rPr>
          <w:color w:val="auto"/>
          <w:szCs w:val="24"/>
        </w:rPr>
        <w:t>,</w:t>
      </w:r>
      <w:r w:rsidR="00C6201A" w:rsidRPr="00FF3F16">
        <w:rPr>
          <w:color w:val="auto"/>
          <w:szCs w:val="24"/>
        </w:rPr>
        <w:t xml:space="preserve"> </w:t>
      </w:r>
      <w:r w:rsidR="007B250F" w:rsidRPr="00FF3F16">
        <w:rPr>
          <w:color w:val="auto"/>
          <w:szCs w:val="24"/>
        </w:rPr>
        <w:t xml:space="preserve"> radi </w:t>
      </w:r>
      <w:r w:rsidR="00C6201A" w:rsidRPr="00FF3F16">
        <w:rPr>
          <w:color w:val="auto"/>
          <w:szCs w:val="24"/>
        </w:rPr>
        <w:t xml:space="preserve">kratkotrajnog pristupa </w:t>
      </w:r>
      <w:r w:rsidRPr="00FF3F16">
        <w:rPr>
          <w:color w:val="auto"/>
          <w:szCs w:val="24"/>
        </w:rPr>
        <w:t xml:space="preserve"> </w:t>
      </w:r>
      <w:r w:rsidR="00FF3F16" w:rsidRPr="00FF3F16">
        <w:rPr>
          <w:color w:val="auto"/>
          <w:szCs w:val="24"/>
        </w:rPr>
        <w:t xml:space="preserve">stambenom </w:t>
      </w:r>
      <w:r w:rsidRPr="00FF3F16">
        <w:rPr>
          <w:color w:val="auto"/>
          <w:szCs w:val="24"/>
        </w:rPr>
        <w:t>objektu</w:t>
      </w:r>
      <w:bookmarkEnd w:id="1"/>
      <w:r w:rsidR="004D14DE" w:rsidRPr="00FF3F16">
        <w:rPr>
          <w:color w:val="auto"/>
          <w:szCs w:val="24"/>
        </w:rPr>
        <w:t xml:space="preserve"> do najviše 30 minuta.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fizičkih osoba koje nemaju prijavljeno prebivalište u pješačkoj zoni, a imaju u pješačkoj zoni u vlasništvu parkirališno mjesto u dvorištu ili garaži, radi ulaska i izlaska u dvorište odnosno garažu,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fizičkih osoba obrtnika i pravnih osoba koje u pješačkoj zoni imaju u vlasništvu, odnosno</w:t>
      </w:r>
      <w:r w:rsidR="00602024" w:rsidRPr="00FF3F16">
        <w:rPr>
          <w:color w:val="auto"/>
          <w:szCs w:val="24"/>
        </w:rPr>
        <w:t xml:space="preserve"> na</w:t>
      </w:r>
      <w:r w:rsidRPr="00FF3F16">
        <w:rPr>
          <w:color w:val="auto"/>
          <w:szCs w:val="24"/>
        </w:rPr>
        <w:t xml:space="preserve"> korištenju parkirališno mjesto za vlastite potrebe u dvorištu ili garaži, radi ulaska i izlaska u dvorište odnosno garažu,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zaposlenika i posjetitelja fizičkih osoba obrtnika i pravnih osoba koje u pješačkoj zoni imaju u vlasništvu odnosno</w:t>
      </w:r>
      <w:r w:rsidR="00602024" w:rsidRPr="00FF3F16">
        <w:rPr>
          <w:color w:val="auto"/>
          <w:szCs w:val="24"/>
        </w:rPr>
        <w:t xml:space="preserve"> na</w:t>
      </w:r>
      <w:r w:rsidRPr="00FF3F16">
        <w:rPr>
          <w:color w:val="auto"/>
          <w:szCs w:val="24"/>
        </w:rPr>
        <w:t xml:space="preserve"> korištenju parkirališna mjesta u garaži, radi ulaska i izlaska u garažu,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korisnika znaka pristupačnosti koji su zaposlenici fizičkih osoba obrtnika i pravnih osoba koji u pješačkoj zoni imaju u vlasništvu odnosno na korištenju parkirališna mjesta u dvorištu, radi ulaska i izlaska u dvorište,</w:t>
      </w:r>
    </w:p>
    <w:p w:rsidR="00E70B5C" w:rsidRPr="00FF3F16" w:rsidRDefault="00E70B5C" w:rsidP="0070089C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- fizičkih osoba obrtnika i pravnih osoba koji obavljaju opskrbu.</w:t>
      </w:r>
    </w:p>
    <w:p w:rsidR="00E70B5C" w:rsidRPr="00FF3F16" w:rsidRDefault="00E70B5C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Za prometovanje motornih vozila iz stavka 2. ovoga članka gradsko up</w:t>
      </w:r>
      <w:r w:rsidR="000F2E83" w:rsidRPr="00FF3F16">
        <w:rPr>
          <w:color w:val="auto"/>
          <w:szCs w:val="24"/>
        </w:rPr>
        <w:t>ravno tijelo nadležno za promet</w:t>
      </w:r>
      <w:r w:rsidRPr="00FF3F16">
        <w:rPr>
          <w:color w:val="auto"/>
          <w:szCs w:val="24"/>
        </w:rPr>
        <w:t xml:space="preserve"> na temelju </w:t>
      </w:r>
      <w:r w:rsidR="00973561" w:rsidRPr="00FF3F16">
        <w:rPr>
          <w:color w:val="auto"/>
          <w:szCs w:val="24"/>
        </w:rPr>
        <w:t>zahtjeva</w:t>
      </w:r>
      <w:r w:rsidR="000F2E83" w:rsidRPr="00FF3F16">
        <w:rPr>
          <w:color w:val="auto"/>
          <w:szCs w:val="24"/>
        </w:rPr>
        <w:t>,</w:t>
      </w:r>
      <w:r w:rsidRPr="00FF3F16">
        <w:rPr>
          <w:color w:val="auto"/>
          <w:szCs w:val="24"/>
        </w:rPr>
        <w:t xml:space="preserve"> izdaje dozvolu za prometovanje vozila u kojoj je određena trasa kretanja vozila u pješačkoj zoni.</w:t>
      </w:r>
    </w:p>
    <w:p w:rsidR="00E70B5C" w:rsidRPr="00FF3F16" w:rsidRDefault="00E70B5C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Zaposlenici i posjetitelji fizičkih osoba obrtnika i pravnih osoba iz stavk</w:t>
      </w:r>
      <w:r w:rsidR="00EF6DA1">
        <w:rPr>
          <w:color w:val="auto"/>
          <w:szCs w:val="24"/>
        </w:rPr>
        <w:t>a 2. alineja</w:t>
      </w:r>
      <w:r w:rsidRPr="00FF3F16">
        <w:rPr>
          <w:color w:val="auto"/>
          <w:szCs w:val="24"/>
        </w:rPr>
        <w:t xml:space="preserve"> 5. i 6. ovoga članka dužni su prometovati određenom trasom kretanja na temelju preslike dozvole </w:t>
      </w:r>
      <w:r w:rsidRPr="00FF3F16">
        <w:rPr>
          <w:color w:val="auto"/>
          <w:szCs w:val="24"/>
        </w:rPr>
        <w:lastRenderedPageBreak/>
        <w:t>za prometovanje vozila koju ovjerava fizička osoba obrtnik ili pravna osoba kojoj je izdana dozvola.</w:t>
      </w:r>
    </w:p>
    <w:p w:rsidR="00E70B5C" w:rsidRPr="00FF3F16" w:rsidRDefault="00E70B5C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Za vrijeme prometovanja motornih vozila u pješačkoj zoni, dozvola odnosno preslika dozvole za prometovanje vo</w:t>
      </w:r>
      <w:r w:rsidR="00810F28" w:rsidRPr="00FF3F16">
        <w:rPr>
          <w:color w:val="auto"/>
          <w:szCs w:val="24"/>
        </w:rPr>
        <w:t>zila mora se nalaziti u vozilu.</w:t>
      </w: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6.</w:t>
      </w:r>
    </w:p>
    <w:p w:rsidR="000C200B" w:rsidRPr="00FF3F16" w:rsidRDefault="000C200B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U pješačkoj zoni dozvoljen je promet autotaksi vozila u Ilici od </w:t>
      </w:r>
      <w:proofErr w:type="spellStart"/>
      <w:r w:rsidRPr="00FF3F16">
        <w:rPr>
          <w:color w:val="auto"/>
          <w:szCs w:val="24"/>
        </w:rPr>
        <w:t>Gundulićeve</w:t>
      </w:r>
      <w:proofErr w:type="spellEnd"/>
      <w:r w:rsidRPr="00FF3F16">
        <w:rPr>
          <w:color w:val="auto"/>
          <w:szCs w:val="24"/>
        </w:rPr>
        <w:t xml:space="preserve"> </w:t>
      </w:r>
      <w:r w:rsidR="004C1E6D" w:rsidRPr="00FF3F16">
        <w:rPr>
          <w:color w:val="auto"/>
          <w:szCs w:val="24"/>
        </w:rPr>
        <w:t>ulice do Ulice Sv. Preobraženja</w:t>
      </w:r>
      <w:r w:rsidR="00602024" w:rsidRPr="00FF3F16">
        <w:rPr>
          <w:color w:val="auto"/>
          <w:szCs w:val="24"/>
        </w:rPr>
        <w:t>,</w:t>
      </w:r>
      <w:r w:rsidR="004C1E6D" w:rsidRPr="00FF3F16">
        <w:rPr>
          <w:color w:val="auto"/>
          <w:szCs w:val="24"/>
        </w:rPr>
        <w:t xml:space="preserve"> </w:t>
      </w:r>
      <w:r w:rsidRPr="00FF3F16">
        <w:rPr>
          <w:color w:val="auto"/>
          <w:szCs w:val="24"/>
        </w:rPr>
        <w:t>u Vlaškoj ulici od Ulice Junija Palmotića do Ulice Frana Kurelca, u Ulici Frana Kurelca od Vlaške ulice do Ulice Nikole Jurišića, u Ulici Nikole Jurišića od Ulice Frana Kurelca do Trga hrvatskih velikana, na Trgu hrvatskih velikana, u Ulici Janka Draškovića od Trga hrvatskih velikana do Vlaške ulice.</w:t>
      </w: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bookmarkStart w:id="2" w:name="_Hlk6230415"/>
      <w:r w:rsidRPr="00CC301A">
        <w:rPr>
          <w:b/>
          <w:color w:val="auto"/>
          <w:szCs w:val="24"/>
        </w:rPr>
        <w:t>Članak 7.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Fizičke osobe iz članka 5. stavka 2. alineje 1. ove naredbe dužne su uz zahtjev za izdavanje dozvole za prometovanje vozila priložiti: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dokaz o vlasništvu odnosno </w:t>
      </w:r>
      <w:r w:rsidR="000F2E83" w:rsidRPr="00FF3F16">
        <w:rPr>
          <w:color w:val="auto"/>
          <w:szCs w:val="24"/>
        </w:rPr>
        <w:t>korištenju parkirališnog mjesta</w:t>
      </w:r>
      <w:r w:rsidRPr="00FF3F16">
        <w:rPr>
          <w:color w:val="auto"/>
          <w:szCs w:val="24"/>
        </w:rPr>
        <w:t xml:space="preserve"> ili izjavu predstavnika suvlasnika d</w:t>
      </w:r>
      <w:r w:rsidR="00973561" w:rsidRPr="00FF3F16">
        <w:rPr>
          <w:color w:val="auto"/>
          <w:szCs w:val="24"/>
        </w:rPr>
        <w:t>a je u dvorištu odnosno garaži</w:t>
      </w:r>
      <w:r w:rsidR="000F2E83" w:rsidRPr="00FF3F16">
        <w:rPr>
          <w:color w:val="auto"/>
          <w:szCs w:val="24"/>
        </w:rPr>
        <w:t>,</w:t>
      </w:r>
      <w:r w:rsidRPr="00FF3F16">
        <w:rPr>
          <w:color w:val="auto"/>
          <w:szCs w:val="24"/>
        </w:rPr>
        <w:t xml:space="preserve"> osigurano parkirališno mjesto za podnositelja zahtjeva,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- uvjerenje o prebivalištu ili presliku osobne iskaznice,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preslike prometnih dozvola za svako vozilo te dokaz o pravnom temelju za korištenje vozila (ugovor o </w:t>
      </w:r>
      <w:proofErr w:type="spellStart"/>
      <w:r w:rsidRPr="00FF3F16">
        <w:rPr>
          <w:color w:val="auto"/>
          <w:szCs w:val="24"/>
        </w:rPr>
        <w:t>leasingu</w:t>
      </w:r>
      <w:proofErr w:type="spellEnd"/>
      <w:r w:rsidRPr="00FF3F16">
        <w:rPr>
          <w:color w:val="auto"/>
          <w:szCs w:val="24"/>
        </w:rPr>
        <w:t xml:space="preserve"> ili ugovor o najmu).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Fizičke osobe iz članka 5. stavka 2. alineje 2. ove naredbe dužne su uz zahtjev za izdavanje dozvole za prometovanje vozila priložiti: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- uvjerenje o prebivalištu ili presliku osobne iskaznice,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preslike prometnih dozvola za svako vozilo te dokaz o pravnom temelju za korištenje vozila (ugovor o </w:t>
      </w:r>
      <w:proofErr w:type="spellStart"/>
      <w:r w:rsidRPr="00FF3F16">
        <w:rPr>
          <w:color w:val="auto"/>
          <w:szCs w:val="24"/>
        </w:rPr>
        <w:t>leasingu</w:t>
      </w:r>
      <w:proofErr w:type="spellEnd"/>
      <w:r w:rsidRPr="00FF3F16">
        <w:rPr>
          <w:color w:val="auto"/>
          <w:szCs w:val="24"/>
        </w:rPr>
        <w:t xml:space="preserve"> ili ugovor o najmu).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Fizičke osobe iz članka 5. stavka 2. alineje 3. ove naredbe dužne su uz zahtjev za izdavanje dozvole za prometovanje vozila priložiti: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- dokaz o vlasništvu parkirališnog mjesta ili dokaz o vlasništvu nekretnine i izjavu predstavnika suvlasnika da je u dvorištu odnosno garaži osigurano parkirališno mjesto za podnositelja zahtjeva,</w:t>
      </w:r>
    </w:p>
    <w:p w:rsidR="00D7572F" w:rsidRPr="00FF3F16" w:rsidRDefault="00D7572F" w:rsidP="00190B88">
      <w:pPr>
        <w:spacing w:after="0"/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preslike prometnih dozvola za svako vozilo te dokaz o pravnom temelju za korištenje vozila (ugovor o </w:t>
      </w:r>
      <w:proofErr w:type="spellStart"/>
      <w:r w:rsidRPr="00FF3F16">
        <w:rPr>
          <w:color w:val="auto"/>
          <w:szCs w:val="24"/>
        </w:rPr>
        <w:t>leasingu</w:t>
      </w:r>
      <w:proofErr w:type="spellEnd"/>
      <w:r w:rsidRPr="00FF3F16">
        <w:rPr>
          <w:color w:val="auto"/>
          <w:szCs w:val="24"/>
        </w:rPr>
        <w:t xml:space="preserve"> ili ugovor o najmu).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Fizičke osobe obrtnici i pravne osobe iz članka 5. stavka 2. alineje 4. ove naredbe dužne su uz zahtjev za izdavanje dozvole za prometovanje vozila priložiti: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- dokaz o</w:t>
      </w:r>
      <w:r w:rsidR="000F2E83" w:rsidRPr="00FF3F16">
        <w:rPr>
          <w:color w:val="auto"/>
          <w:szCs w:val="24"/>
        </w:rPr>
        <w:t xml:space="preserve"> vlasništvu</w:t>
      </w:r>
      <w:r w:rsidR="00D026F5" w:rsidRPr="00FF3F16">
        <w:rPr>
          <w:color w:val="auto"/>
          <w:szCs w:val="24"/>
        </w:rPr>
        <w:t>,</w:t>
      </w:r>
      <w:r w:rsidRPr="00FF3F16">
        <w:rPr>
          <w:color w:val="auto"/>
          <w:szCs w:val="24"/>
        </w:rPr>
        <w:t xml:space="preserve"> odnosno korištenju parkirališnog mjesta ili izjavu predstavnika suvlasnika da je u dvorištu odnosno garaži</w:t>
      </w:r>
      <w:r w:rsidR="008B1FF0">
        <w:rPr>
          <w:color w:val="auto"/>
          <w:szCs w:val="24"/>
        </w:rPr>
        <w:t xml:space="preserve"> </w:t>
      </w:r>
      <w:r w:rsidRPr="00FF3F16">
        <w:rPr>
          <w:color w:val="auto"/>
          <w:szCs w:val="24"/>
        </w:rPr>
        <w:t xml:space="preserve"> osigurano parkirališno mjesto,</w:t>
      </w:r>
    </w:p>
    <w:p w:rsidR="00D7572F" w:rsidRPr="00FF3F16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preslike prometnih dozvola za svako vozilo te dokaz o pravnom temelju za korištenje vozila (ugovor o </w:t>
      </w:r>
      <w:proofErr w:type="spellStart"/>
      <w:r w:rsidRPr="00FF3F16">
        <w:rPr>
          <w:color w:val="auto"/>
          <w:szCs w:val="24"/>
        </w:rPr>
        <w:t>leasingu</w:t>
      </w:r>
      <w:proofErr w:type="spellEnd"/>
      <w:r w:rsidRPr="00FF3F16">
        <w:rPr>
          <w:color w:val="auto"/>
          <w:szCs w:val="24"/>
        </w:rPr>
        <w:t xml:space="preserve"> ili ugovor o najmu).</w:t>
      </w:r>
    </w:p>
    <w:p w:rsidR="00D7572F" w:rsidRPr="006D1C89" w:rsidRDefault="00D7572F" w:rsidP="00190B88">
      <w:pPr>
        <w:spacing w:after="0"/>
        <w:ind w:firstLine="708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t>Fizičke osobe obrtnici i pravne osobe iz članka 5. stavka 2. alineje 5. ove naredbe dužne su uz zahtjev za izdavanje dozvole za prometovanje vozila priložiti:</w:t>
      </w:r>
    </w:p>
    <w:p w:rsidR="00D7572F" w:rsidRPr="006D1C89" w:rsidRDefault="000F2E83" w:rsidP="00190B88">
      <w:pPr>
        <w:spacing w:after="0"/>
        <w:ind w:firstLine="708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t>- dokaz o vlasništvu</w:t>
      </w:r>
      <w:r w:rsidR="00D7572F" w:rsidRPr="006D1C89">
        <w:rPr>
          <w:color w:val="auto"/>
          <w:szCs w:val="24"/>
        </w:rPr>
        <w:t xml:space="preserve"> odnosno korištenju parkirališnog mjesta u garaži.</w:t>
      </w:r>
    </w:p>
    <w:p w:rsidR="00D026F5" w:rsidRPr="006D1C89" w:rsidRDefault="00D026F5" w:rsidP="00D026F5">
      <w:pPr>
        <w:spacing w:after="0"/>
        <w:ind w:firstLine="708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lastRenderedPageBreak/>
        <w:t>Fizičke osobe obrtnici i pravne osobe iz članka 5. stavka 2. alineje 6. ove naredbe dužne su uz zahtjev za izdavanje dozvole za prometovanje vozila priložiti:</w:t>
      </w:r>
    </w:p>
    <w:p w:rsidR="00D026F5" w:rsidRPr="006D1C89" w:rsidRDefault="00D026F5" w:rsidP="00D026F5">
      <w:pPr>
        <w:spacing w:after="0"/>
        <w:ind w:firstLine="708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t>- dokaz o vlasništvu odnosno korištenju parkirališnog mjesta u</w:t>
      </w:r>
      <w:r w:rsidR="00FF3F16" w:rsidRPr="006D1C89">
        <w:rPr>
          <w:color w:val="auto"/>
          <w:szCs w:val="24"/>
        </w:rPr>
        <w:t xml:space="preserve"> dvorištu,</w:t>
      </w:r>
    </w:p>
    <w:p w:rsidR="00FF3F16" w:rsidRPr="006D1C89" w:rsidRDefault="00D026F5" w:rsidP="008B1FF0">
      <w:pPr>
        <w:spacing w:after="0" w:line="240" w:lineRule="auto"/>
        <w:ind w:firstLine="709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t>- preslik</w:t>
      </w:r>
      <w:r w:rsidR="00FF3F16" w:rsidRPr="006D1C89">
        <w:rPr>
          <w:color w:val="auto"/>
          <w:szCs w:val="24"/>
        </w:rPr>
        <w:t>u znaka pristupačnosti zaposlenika i presliku prometne dozvole zaposlenika.</w:t>
      </w:r>
    </w:p>
    <w:p w:rsidR="00BA312B" w:rsidRPr="006D1C89" w:rsidRDefault="00D026F5" w:rsidP="008B1FF0">
      <w:pPr>
        <w:spacing w:after="0" w:line="240" w:lineRule="auto"/>
        <w:rPr>
          <w:color w:val="auto"/>
          <w:szCs w:val="24"/>
        </w:rPr>
      </w:pPr>
      <w:r w:rsidRPr="008B1FF0">
        <w:t xml:space="preserve">       </w:t>
      </w:r>
      <w:r w:rsidR="008B1FF0">
        <w:t xml:space="preserve">     </w:t>
      </w:r>
      <w:r w:rsidR="00BA312B" w:rsidRPr="006D1C89">
        <w:rPr>
          <w:color w:val="auto"/>
          <w:szCs w:val="24"/>
        </w:rPr>
        <w:t>Fizičke osobe obrtnici i pravne osobe iz članka 5. stavka 2. alineje 7. ove naredbe koje obavljaju opskrbu dužne su uz zahtjev za izdavanje dozvole za prometovanje vozila priložiti:</w:t>
      </w:r>
    </w:p>
    <w:p w:rsidR="00BA312B" w:rsidRPr="00FF3F16" w:rsidRDefault="00BA312B" w:rsidP="008B1FF0">
      <w:pPr>
        <w:spacing w:after="0"/>
        <w:ind w:firstLine="708"/>
        <w:jc w:val="both"/>
        <w:rPr>
          <w:color w:val="auto"/>
          <w:szCs w:val="24"/>
        </w:rPr>
      </w:pPr>
      <w:r w:rsidRPr="006D1C89">
        <w:rPr>
          <w:color w:val="auto"/>
          <w:szCs w:val="24"/>
        </w:rPr>
        <w:t xml:space="preserve">- preslike prometnih dozvola za svako vozilo kojim će obavljati opskrbu te dokaz o pravnom temelju za korištenje vozila (ugovor o </w:t>
      </w:r>
      <w:proofErr w:type="spellStart"/>
      <w:r w:rsidRPr="006D1C89">
        <w:rPr>
          <w:color w:val="auto"/>
          <w:szCs w:val="24"/>
        </w:rPr>
        <w:t>leasingu</w:t>
      </w:r>
      <w:proofErr w:type="spellEnd"/>
      <w:r w:rsidRPr="006D1C89">
        <w:rPr>
          <w:color w:val="auto"/>
          <w:szCs w:val="24"/>
        </w:rPr>
        <w:t xml:space="preserve"> ili ugovor o najmu).</w:t>
      </w:r>
    </w:p>
    <w:p w:rsidR="00BA312B" w:rsidRDefault="00BA312B" w:rsidP="00190B88">
      <w:pPr>
        <w:spacing w:after="0"/>
        <w:ind w:firstLine="708"/>
        <w:jc w:val="both"/>
        <w:rPr>
          <w:color w:val="auto"/>
          <w:szCs w:val="24"/>
        </w:rPr>
      </w:pPr>
    </w:p>
    <w:bookmarkEnd w:id="2"/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CC301A">
        <w:rPr>
          <w:b/>
          <w:color w:val="auto"/>
          <w:szCs w:val="24"/>
        </w:rPr>
        <w:t>Članak 8.</w:t>
      </w:r>
    </w:p>
    <w:p w:rsidR="006D1C89" w:rsidRDefault="00D7572F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 </w:t>
      </w:r>
      <w:r w:rsidRPr="00EF6DA1">
        <w:rPr>
          <w:color w:val="auto"/>
          <w:szCs w:val="24"/>
        </w:rPr>
        <w:t xml:space="preserve">Dozvola za prometovanje vozila za osobe iz članka 5. stavka 2. alineja </w:t>
      </w:r>
      <w:r w:rsidR="007B250F" w:rsidRPr="00EF6DA1">
        <w:rPr>
          <w:color w:val="auto"/>
          <w:szCs w:val="24"/>
        </w:rPr>
        <w:t xml:space="preserve">od </w:t>
      </w:r>
      <w:r w:rsidRPr="00EF6DA1">
        <w:rPr>
          <w:color w:val="auto"/>
          <w:szCs w:val="24"/>
        </w:rPr>
        <w:t>1.</w:t>
      </w:r>
      <w:r w:rsidR="00FF3F16" w:rsidRPr="00EF6DA1">
        <w:rPr>
          <w:color w:val="auto"/>
          <w:szCs w:val="24"/>
        </w:rPr>
        <w:t xml:space="preserve"> </w:t>
      </w:r>
      <w:r w:rsidR="007B250F" w:rsidRPr="00EF6DA1">
        <w:rPr>
          <w:color w:val="auto"/>
          <w:szCs w:val="24"/>
        </w:rPr>
        <w:t xml:space="preserve">do </w:t>
      </w:r>
      <w:r w:rsidRPr="00EF6DA1">
        <w:rPr>
          <w:color w:val="auto"/>
          <w:szCs w:val="24"/>
        </w:rPr>
        <w:t xml:space="preserve"> 6. ove naredbe izdaje se na rok od 2 godine.</w:t>
      </w:r>
    </w:p>
    <w:p w:rsidR="00D7572F" w:rsidRDefault="00D7572F" w:rsidP="006D1C89">
      <w:pPr>
        <w:spacing w:after="0"/>
        <w:ind w:firstLine="708"/>
        <w:jc w:val="both"/>
        <w:rPr>
          <w:color w:val="auto"/>
          <w:szCs w:val="24"/>
        </w:rPr>
      </w:pPr>
      <w:r w:rsidRPr="00EF6DA1">
        <w:rPr>
          <w:color w:val="auto"/>
          <w:szCs w:val="24"/>
        </w:rPr>
        <w:t>Dozvola za prometovanje vozila fizičk</w:t>
      </w:r>
      <w:r w:rsidR="00EF6DA1" w:rsidRPr="00EF6DA1">
        <w:rPr>
          <w:color w:val="auto"/>
          <w:szCs w:val="24"/>
        </w:rPr>
        <w:t>ih osoba obrtnika</w:t>
      </w:r>
      <w:r w:rsidRPr="00EF6DA1">
        <w:rPr>
          <w:color w:val="auto"/>
          <w:szCs w:val="24"/>
        </w:rPr>
        <w:t xml:space="preserve"> i pravn</w:t>
      </w:r>
      <w:r w:rsidR="00EF6DA1" w:rsidRPr="00EF6DA1">
        <w:rPr>
          <w:color w:val="auto"/>
          <w:szCs w:val="24"/>
        </w:rPr>
        <w:t>ih</w:t>
      </w:r>
      <w:r w:rsidRPr="00EF6DA1">
        <w:rPr>
          <w:color w:val="auto"/>
          <w:szCs w:val="24"/>
        </w:rPr>
        <w:t xml:space="preserve"> osobe iz članka 5. stavk</w:t>
      </w:r>
      <w:r w:rsidR="00602024" w:rsidRPr="00EF6DA1">
        <w:rPr>
          <w:color w:val="auto"/>
          <w:szCs w:val="24"/>
        </w:rPr>
        <w:t>a 2. alineje 7. ove naredbe koja</w:t>
      </w:r>
      <w:r w:rsidRPr="00EF6DA1">
        <w:rPr>
          <w:color w:val="auto"/>
          <w:szCs w:val="24"/>
        </w:rPr>
        <w:t xml:space="preserve"> obavljaju opskrbu, izdaje se na rok od 1 godine (godišnja dozvola) ili na rok do 30 dana (privremena dozvola).</w:t>
      </w:r>
      <w:r w:rsidRPr="00FF3F16">
        <w:rPr>
          <w:color w:val="auto"/>
          <w:szCs w:val="24"/>
        </w:rPr>
        <w:t xml:space="preserve"> </w:t>
      </w:r>
    </w:p>
    <w:p w:rsidR="00270F3D" w:rsidRPr="00FF3F16" w:rsidRDefault="00270F3D" w:rsidP="006D1C89">
      <w:pPr>
        <w:spacing w:after="0"/>
        <w:ind w:firstLine="708"/>
        <w:jc w:val="both"/>
        <w:rPr>
          <w:color w:val="auto"/>
          <w:szCs w:val="24"/>
        </w:rPr>
      </w:pPr>
    </w:p>
    <w:p w:rsidR="000C200B" w:rsidRPr="00FF3F16" w:rsidRDefault="000C200B" w:rsidP="006D1C89">
      <w:pPr>
        <w:spacing w:after="0"/>
        <w:jc w:val="center"/>
        <w:rPr>
          <w:b/>
          <w:color w:val="auto"/>
          <w:szCs w:val="24"/>
        </w:rPr>
      </w:pPr>
      <w:r w:rsidRPr="00CC301A">
        <w:rPr>
          <w:b/>
          <w:color w:val="auto"/>
          <w:szCs w:val="24"/>
        </w:rPr>
        <w:t>Članak 9.</w:t>
      </w:r>
    </w:p>
    <w:p w:rsidR="000C200B" w:rsidRPr="00FF3F16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Visina naknade za prometovanje motornih vozila u pješačkoj zoni za fizičke osobe, fizičke osobe</w:t>
      </w:r>
      <w:r w:rsidR="00190B88" w:rsidRPr="00FF3F16">
        <w:rPr>
          <w:color w:val="auto"/>
          <w:szCs w:val="24"/>
        </w:rPr>
        <w:t xml:space="preserve"> obrtnike, odnosno pravne osobe</w:t>
      </w:r>
      <w:r w:rsidRPr="00FF3F16">
        <w:rPr>
          <w:color w:val="auto"/>
          <w:szCs w:val="24"/>
        </w:rPr>
        <w:t xml:space="preserve"> iznosi 10 kuna za dvije godine.</w:t>
      </w:r>
    </w:p>
    <w:p w:rsidR="00D7572F" w:rsidRPr="00FF3F16" w:rsidRDefault="00EF6DA1" w:rsidP="006D1C89">
      <w:pPr>
        <w:spacing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Iznimno, fizičke</w:t>
      </w:r>
      <w:r w:rsidR="00D7572F" w:rsidRPr="00FF3F16">
        <w:rPr>
          <w:color w:val="auto"/>
          <w:szCs w:val="24"/>
        </w:rPr>
        <w:t xml:space="preserve"> osobe </w:t>
      </w:r>
      <w:r w:rsidR="00C6201A" w:rsidRPr="00FF3F16">
        <w:rPr>
          <w:color w:val="auto"/>
          <w:szCs w:val="24"/>
        </w:rPr>
        <w:t>iz članka 5. stavka 2. alinej</w:t>
      </w:r>
      <w:r>
        <w:rPr>
          <w:color w:val="auto"/>
          <w:szCs w:val="24"/>
        </w:rPr>
        <w:t>a</w:t>
      </w:r>
      <w:r w:rsidR="00C6201A" w:rsidRPr="00FF3F16">
        <w:rPr>
          <w:color w:val="auto"/>
          <w:szCs w:val="24"/>
        </w:rPr>
        <w:t xml:space="preserve"> 1. i 2.</w:t>
      </w:r>
      <w:r w:rsidR="00973561" w:rsidRPr="00FF3F16">
        <w:rPr>
          <w:color w:val="auto"/>
          <w:szCs w:val="24"/>
        </w:rPr>
        <w:t xml:space="preserve"> ove naredbe</w:t>
      </w:r>
      <w:r w:rsidR="00C6201A" w:rsidRPr="00FF3F16">
        <w:rPr>
          <w:color w:val="auto"/>
          <w:szCs w:val="24"/>
        </w:rPr>
        <w:t xml:space="preserve"> </w:t>
      </w:r>
      <w:r w:rsidR="00D7572F" w:rsidRPr="00FF3F16">
        <w:rPr>
          <w:color w:val="auto"/>
          <w:szCs w:val="24"/>
        </w:rPr>
        <w:t xml:space="preserve">ne plaćaju naknadu za prometovanje vozila u pješačkoj zoni. </w:t>
      </w:r>
    </w:p>
    <w:p w:rsidR="00C6201A" w:rsidRPr="00FF3F16" w:rsidRDefault="00190B88" w:rsidP="006D1C89">
      <w:pPr>
        <w:spacing w:after="0"/>
        <w:ind w:firstLine="708"/>
        <w:jc w:val="both"/>
        <w:rPr>
          <w:color w:val="auto"/>
        </w:rPr>
      </w:pPr>
      <w:r w:rsidRPr="00FF3F16">
        <w:rPr>
          <w:color w:val="auto"/>
        </w:rPr>
        <w:t>F</w:t>
      </w:r>
      <w:r w:rsidR="00C6201A" w:rsidRPr="00FF3F16">
        <w:rPr>
          <w:color w:val="auto"/>
        </w:rPr>
        <w:t xml:space="preserve">izičke osobe </w:t>
      </w:r>
      <w:r w:rsidR="00973561" w:rsidRPr="00FF3F16">
        <w:rPr>
          <w:color w:val="auto"/>
        </w:rPr>
        <w:t xml:space="preserve">iz članka 5. stavka 2. alineje 2. ove naredbe </w:t>
      </w:r>
      <w:r w:rsidR="00FF3F16">
        <w:rPr>
          <w:color w:val="auto"/>
        </w:rPr>
        <w:t xml:space="preserve">stambenom </w:t>
      </w:r>
      <w:r w:rsidR="00973561" w:rsidRPr="00FF3F16">
        <w:rPr>
          <w:color w:val="auto"/>
        </w:rPr>
        <w:t xml:space="preserve">objektu mogu pristupiti radnim danom od ponedjeljka do petka </w:t>
      </w:r>
      <w:r w:rsidR="00C6201A" w:rsidRPr="00FF3F16">
        <w:rPr>
          <w:color w:val="auto"/>
        </w:rPr>
        <w:t xml:space="preserve">u vremenu od 0:00 do 24:00, </w:t>
      </w:r>
      <w:r w:rsidR="00FF3F16">
        <w:rPr>
          <w:color w:val="auto"/>
        </w:rPr>
        <w:t>te</w:t>
      </w:r>
      <w:r w:rsidR="00C6201A" w:rsidRPr="00FF3F16">
        <w:rPr>
          <w:color w:val="auto"/>
        </w:rPr>
        <w:t xml:space="preserve"> subotom i nedjeljom od 7:00 do 9:00 i 18:00 do 20:00 sati.</w:t>
      </w:r>
    </w:p>
    <w:p w:rsidR="00190B88" w:rsidRPr="00FF3F16" w:rsidRDefault="00C6201A" w:rsidP="00C6201A">
      <w:pPr>
        <w:ind w:firstLine="708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 xml:space="preserve">                                             </w:t>
      </w:r>
      <w:r w:rsidR="00973561" w:rsidRPr="00FF3F16">
        <w:rPr>
          <w:b/>
          <w:color w:val="auto"/>
          <w:szCs w:val="24"/>
        </w:rPr>
        <w:t xml:space="preserve">   </w:t>
      </w:r>
      <w:r w:rsidRPr="00FF3F16">
        <w:rPr>
          <w:b/>
          <w:color w:val="auto"/>
          <w:szCs w:val="24"/>
        </w:rPr>
        <w:t xml:space="preserve">  </w:t>
      </w:r>
    </w:p>
    <w:p w:rsidR="00C6201A" w:rsidRPr="00FF3F16" w:rsidRDefault="00190B88" w:rsidP="00190B88">
      <w:pPr>
        <w:ind w:firstLine="708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 xml:space="preserve">                                                        </w:t>
      </w:r>
      <w:r w:rsidR="00C6201A" w:rsidRPr="00FF3F16">
        <w:rPr>
          <w:b/>
          <w:color w:val="auto"/>
          <w:szCs w:val="24"/>
        </w:rPr>
        <w:t>Članak 10.</w:t>
      </w:r>
    </w:p>
    <w:p w:rsidR="000C200B" w:rsidRPr="00FF3F16" w:rsidRDefault="000C200B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Visina naknade za prometovanje vozila opskrbe u pješačkoj zoni za fizičke osobe obrtnike i pravne osobe iznosi: </w:t>
      </w:r>
    </w:p>
    <w:p w:rsidR="007B250F" w:rsidRPr="007B250F" w:rsidRDefault="007B250F" w:rsidP="007B250F">
      <w:pPr>
        <w:adjustRightInd w:val="0"/>
        <w:spacing w:before="100" w:beforeAutospacing="1" w:after="0" w:line="240" w:lineRule="auto"/>
        <w:rPr>
          <w:rFonts w:eastAsia="Times New Roman"/>
          <w:color w:val="auto"/>
          <w:sz w:val="20"/>
          <w:szCs w:val="20"/>
          <w:lang w:eastAsia="hr-H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1189"/>
        <w:gridCol w:w="1276"/>
        <w:gridCol w:w="4111"/>
        <w:gridCol w:w="1276"/>
        <w:gridCol w:w="1448"/>
      </w:tblGrid>
      <w:tr w:rsidR="00FF3F16" w:rsidRPr="00DB36E5" w:rsidTr="00F41A57">
        <w:trPr>
          <w:cantSplit/>
          <w:tblHeader/>
        </w:trPr>
        <w:tc>
          <w:tcPr>
            <w:tcW w:w="1188" w:type="dxa"/>
            <w:vMerge w:val="restart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Vrijeme opskrbe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Najveća dopuštena masa</w:t>
            </w:r>
          </w:p>
        </w:tc>
        <w:tc>
          <w:tcPr>
            <w:tcW w:w="6835" w:type="dxa"/>
            <w:gridSpan w:val="3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Visina naknade / vozilo opskrbe</w:t>
            </w:r>
          </w:p>
        </w:tc>
      </w:tr>
      <w:tr w:rsidR="00FF3F16" w:rsidRPr="00DB36E5" w:rsidTr="00F41A57">
        <w:trPr>
          <w:cantSplit/>
          <w:tblHeader/>
        </w:trPr>
        <w:tc>
          <w:tcPr>
            <w:tcW w:w="1188" w:type="dxa"/>
            <w:vMerge/>
            <w:vAlign w:val="center"/>
            <w:hideMark/>
          </w:tcPr>
          <w:p w:rsidR="007B250F" w:rsidRPr="00DB36E5" w:rsidRDefault="007B250F" w:rsidP="007B250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B250F" w:rsidRPr="00DB36E5" w:rsidRDefault="007B250F" w:rsidP="007B250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Dnevna</w:t>
            </w:r>
          </w:p>
        </w:tc>
        <w:tc>
          <w:tcPr>
            <w:tcW w:w="1276" w:type="dxa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Mjesečna</w:t>
            </w:r>
          </w:p>
        </w:tc>
        <w:tc>
          <w:tcPr>
            <w:tcW w:w="1448" w:type="dxa"/>
            <w:vAlign w:val="center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b/>
                <w:bCs/>
                <w:color w:val="auto"/>
                <w:sz w:val="20"/>
                <w:szCs w:val="20"/>
                <w:lang w:eastAsia="hr-HR"/>
              </w:rPr>
              <w:t>Godišnja</w:t>
            </w:r>
          </w:p>
        </w:tc>
      </w:tr>
      <w:tr w:rsidR="00FF3F16" w:rsidRPr="00DB36E5" w:rsidTr="00F41A57">
        <w:trPr>
          <w:cantSplit/>
        </w:trPr>
        <w:tc>
          <w:tcPr>
            <w:tcW w:w="1188" w:type="dxa"/>
            <w:vMerge w:val="restart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00:00 - 24:00</w:t>
            </w:r>
          </w:p>
        </w:tc>
        <w:tc>
          <w:tcPr>
            <w:tcW w:w="1276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≤ 3,5 tona</w:t>
            </w:r>
          </w:p>
        </w:tc>
        <w:tc>
          <w:tcPr>
            <w:tcW w:w="4111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6,00 kuna/toni najveće dopuštene mase vozila</w:t>
            </w:r>
          </w:p>
        </w:tc>
        <w:tc>
          <w:tcPr>
            <w:tcW w:w="1276" w:type="dxa"/>
            <w:vAlign w:val="bottom"/>
            <w:hideMark/>
          </w:tcPr>
          <w:p w:rsidR="007B250F" w:rsidRPr="00DB36E5" w:rsidRDefault="007B250F" w:rsidP="008C7D1E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100,00 kuna</w:t>
            </w:r>
          </w:p>
        </w:tc>
        <w:tc>
          <w:tcPr>
            <w:tcW w:w="1448" w:type="dxa"/>
            <w:vAlign w:val="bottom"/>
            <w:hideMark/>
          </w:tcPr>
          <w:p w:rsidR="007B250F" w:rsidRPr="00DB36E5" w:rsidRDefault="007B250F" w:rsidP="008C7D1E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1.200,00 kuna</w:t>
            </w:r>
          </w:p>
        </w:tc>
      </w:tr>
      <w:tr w:rsidR="00FF3F16" w:rsidRPr="00DB36E5" w:rsidTr="00F41A57">
        <w:trPr>
          <w:cantSplit/>
        </w:trPr>
        <w:tc>
          <w:tcPr>
            <w:tcW w:w="1188" w:type="dxa"/>
            <w:vMerge/>
            <w:vAlign w:val="center"/>
            <w:hideMark/>
          </w:tcPr>
          <w:p w:rsidR="007B250F" w:rsidRPr="00DB36E5" w:rsidRDefault="007B250F" w:rsidP="007B250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&gt;3,5 tona</w:t>
            </w:r>
          </w:p>
        </w:tc>
        <w:tc>
          <w:tcPr>
            <w:tcW w:w="4111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6,00 kuna/toni najveće dopuštene mase vozila</w:t>
            </w:r>
          </w:p>
        </w:tc>
        <w:tc>
          <w:tcPr>
            <w:tcW w:w="1276" w:type="dxa"/>
            <w:vAlign w:val="bottom"/>
            <w:hideMark/>
          </w:tcPr>
          <w:p w:rsidR="007B250F" w:rsidRPr="00DB36E5" w:rsidRDefault="007B250F" w:rsidP="008C7D1E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1.000,00 kuna</w:t>
            </w:r>
          </w:p>
        </w:tc>
        <w:tc>
          <w:tcPr>
            <w:tcW w:w="1448" w:type="dxa"/>
            <w:vAlign w:val="bottom"/>
            <w:hideMark/>
          </w:tcPr>
          <w:p w:rsidR="007B250F" w:rsidRPr="00DB36E5" w:rsidRDefault="007B250F" w:rsidP="008C7D1E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  <w:r w:rsidRPr="00DB36E5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12.000,00 kuna</w:t>
            </w:r>
          </w:p>
        </w:tc>
      </w:tr>
      <w:tr w:rsidR="00FF3F16" w:rsidRPr="00DB36E5" w:rsidTr="00F41A57">
        <w:trPr>
          <w:cantSplit/>
        </w:trPr>
        <w:tc>
          <w:tcPr>
            <w:tcW w:w="1188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Align w:val="bottom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vAlign w:val="bottom"/>
            <w:hideMark/>
          </w:tcPr>
          <w:p w:rsidR="007B250F" w:rsidRPr="00DB36E5" w:rsidRDefault="007B250F" w:rsidP="007B250F">
            <w:pPr>
              <w:adjustRightInd w:val="0"/>
              <w:spacing w:before="100" w:beforeAutospacing="1"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hr-HR"/>
              </w:rPr>
            </w:pPr>
          </w:p>
        </w:tc>
      </w:tr>
    </w:tbl>
    <w:p w:rsidR="0070089C" w:rsidRPr="00FF3F16" w:rsidRDefault="0070089C" w:rsidP="0070089C">
      <w:pPr>
        <w:rPr>
          <w:color w:val="auto"/>
          <w:szCs w:val="24"/>
        </w:rPr>
      </w:pPr>
    </w:p>
    <w:p w:rsidR="00D7572F" w:rsidRDefault="00D912CA" w:rsidP="00810F28">
      <w:pPr>
        <w:ind w:firstLine="708"/>
        <w:jc w:val="both"/>
        <w:rPr>
          <w:color w:val="auto"/>
          <w:szCs w:val="24"/>
        </w:rPr>
      </w:pPr>
      <w:bookmarkStart w:id="3" w:name="_Hlk5107638"/>
      <w:bookmarkStart w:id="4" w:name="_Hlk3372323"/>
      <w:r w:rsidRPr="00FF3F16">
        <w:rPr>
          <w:color w:val="auto"/>
          <w:szCs w:val="24"/>
        </w:rPr>
        <w:t>V</w:t>
      </w:r>
      <w:r w:rsidR="00D7572F" w:rsidRPr="00FF3F16">
        <w:rPr>
          <w:color w:val="auto"/>
          <w:szCs w:val="24"/>
        </w:rPr>
        <w:t xml:space="preserve">rijeme opskrbe </w:t>
      </w:r>
      <w:bookmarkStart w:id="5" w:name="_Hlk5107623"/>
      <w:bookmarkEnd w:id="3"/>
      <w:r w:rsidR="00D7572F" w:rsidRPr="00FF3F16">
        <w:rPr>
          <w:color w:val="auto"/>
          <w:szCs w:val="24"/>
        </w:rPr>
        <w:t xml:space="preserve">u pješačkoj zoni u koju je ulazak zaštićen podiznim stupićima u Ulici Ivana </w:t>
      </w:r>
      <w:proofErr w:type="spellStart"/>
      <w:r w:rsidR="00D7572F" w:rsidRPr="00FF3F16">
        <w:rPr>
          <w:color w:val="auto"/>
          <w:szCs w:val="24"/>
        </w:rPr>
        <w:t>Tkalčića</w:t>
      </w:r>
      <w:proofErr w:type="spellEnd"/>
      <w:r w:rsidR="00D7572F" w:rsidRPr="00FF3F16">
        <w:rPr>
          <w:color w:val="auto"/>
          <w:szCs w:val="24"/>
        </w:rPr>
        <w:t xml:space="preserve">, Ulici Pavla Radića i Ulici Ivana </w:t>
      </w:r>
      <w:proofErr w:type="spellStart"/>
      <w:r w:rsidR="00D7572F" w:rsidRPr="00FF3F16">
        <w:rPr>
          <w:color w:val="auto"/>
          <w:szCs w:val="24"/>
        </w:rPr>
        <w:t>Dežmana</w:t>
      </w:r>
      <w:bookmarkEnd w:id="5"/>
      <w:proofErr w:type="spellEnd"/>
      <w:r w:rsidR="00D7572F" w:rsidRPr="00FF3F16">
        <w:rPr>
          <w:color w:val="auto"/>
          <w:szCs w:val="24"/>
        </w:rPr>
        <w:t xml:space="preserve"> za fizičke osobe obrtnike i pravne osobe koji obavljaju opskrbu</w:t>
      </w:r>
      <w:r w:rsidR="00C6201A" w:rsidRPr="00FF3F16">
        <w:rPr>
          <w:color w:val="auto"/>
          <w:szCs w:val="24"/>
        </w:rPr>
        <w:t xml:space="preserve"> </w:t>
      </w:r>
      <w:r w:rsidR="00D7572F" w:rsidRPr="00FF3F16">
        <w:rPr>
          <w:color w:val="auto"/>
          <w:szCs w:val="24"/>
        </w:rPr>
        <w:t xml:space="preserve"> je od 6:00 do 12:00 i 16:00 do 19:00 sati.</w:t>
      </w:r>
      <w:bookmarkEnd w:id="4"/>
    </w:p>
    <w:p w:rsidR="008B1FF0" w:rsidRDefault="008B1FF0" w:rsidP="00810F28">
      <w:pPr>
        <w:jc w:val="center"/>
        <w:rPr>
          <w:b/>
          <w:color w:val="auto"/>
          <w:szCs w:val="24"/>
        </w:rPr>
      </w:pPr>
    </w:p>
    <w:p w:rsidR="008B1FF0" w:rsidRDefault="008B1FF0" w:rsidP="00810F28">
      <w:pPr>
        <w:jc w:val="center"/>
        <w:rPr>
          <w:b/>
          <w:color w:val="auto"/>
          <w:szCs w:val="24"/>
        </w:rPr>
      </w:pP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lastRenderedPageBreak/>
        <w:t>Članak 1</w:t>
      </w:r>
      <w:r w:rsidR="00C6201A" w:rsidRPr="00FF3F16">
        <w:rPr>
          <w:b/>
          <w:color w:val="auto"/>
          <w:szCs w:val="24"/>
        </w:rPr>
        <w:t>1</w:t>
      </w:r>
      <w:r w:rsidRPr="00FF3F16">
        <w:rPr>
          <w:b/>
          <w:color w:val="auto"/>
          <w:szCs w:val="24"/>
        </w:rPr>
        <w:t>.</w:t>
      </w:r>
    </w:p>
    <w:p w:rsidR="000C200B" w:rsidRPr="00FF3F16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Gradsko upravno tijelo nadležno za promet može odobriti prometovanje motornim vozilima </w:t>
      </w:r>
      <w:r w:rsidR="007B250F" w:rsidRPr="00FF3F16">
        <w:rPr>
          <w:color w:val="auto"/>
          <w:szCs w:val="24"/>
        </w:rPr>
        <w:t xml:space="preserve">radi </w:t>
      </w:r>
      <w:r w:rsidRPr="00FF3F16">
        <w:rPr>
          <w:color w:val="auto"/>
          <w:szCs w:val="24"/>
        </w:rPr>
        <w:t>selidb</w:t>
      </w:r>
      <w:r w:rsidR="00F44485">
        <w:rPr>
          <w:color w:val="auto"/>
          <w:szCs w:val="24"/>
        </w:rPr>
        <w:t>e</w:t>
      </w:r>
      <w:r w:rsidRPr="00FF3F16">
        <w:rPr>
          <w:color w:val="auto"/>
          <w:szCs w:val="24"/>
        </w:rPr>
        <w:t>, snimanja reklamnih spotova i filmova, prijevoza građevinskog materijala i održavanja manifestacija u pješačkoj zoni uz plaćanje naknade koja iznosi 6 kuna/toni</w:t>
      </w:r>
      <w:r w:rsidR="0070089C" w:rsidRPr="00FF3F16">
        <w:rPr>
          <w:color w:val="auto"/>
          <w:szCs w:val="24"/>
        </w:rPr>
        <w:t xml:space="preserve"> najveće dopuštene mase vozila.</w:t>
      </w:r>
    </w:p>
    <w:p w:rsidR="000C200B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Iznimno, gradsko upravno tijelo nadležno za promet može odobriti prometovanje motornim vozilima </w:t>
      </w:r>
      <w:r w:rsidR="00BA312B" w:rsidRPr="00FF3F16">
        <w:rPr>
          <w:color w:val="auto"/>
          <w:szCs w:val="24"/>
        </w:rPr>
        <w:t xml:space="preserve">radi </w:t>
      </w:r>
      <w:r w:rsidRPr="00FF3F16">
        <w:rPr>
          <w:color w:val="auto"/>
          <w:szCs w:val="24"/>
        </w:rPr>
        <w:t>održavanja manifestacija od posebnog značenja za Grad Zagreb (organizator ili suorganizator Grad Zagreb, pokroviteljstvo Grada Zagreba i slično) i za potrebe radio-televizijskih vozila u pješačkoj zoni uz plaćanje naknade koja iznosi 10 kuna po vozilu.</w:t>
      </w:r>
    </w:p>
    <w:p w:rsidR="00D92382" w:rsidRPr="00FF3F16" w:rsidRDefault="00D92382" w:rsidP="00810F28">
      <w:pPr>
        <w:ind w:firstLine="708"/>
        <w:jc w:val="both"/>
        <w:rPr>
          <w:color w:val="auto"/>
          <w:szCs w:val="24"/>
        </w:rPr>
      </w:pP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</w:t>
      </w:r>
      <w:r w:rsidR="00C6201A" w:rsidRPr="00FF3F16">
        <w:rPr>
          <w:b/>
          <w:color w:val="auto"/>
          <w:szCs w:val="24"/>
        </w:rPr>
        <w:t>2</w:t>
      </w:r>
      <w:r w:rsidRPr="00FF3F16">
        <w:rPr>
          <w:b/>
          <w:color w:val="auto"/>
          <w:szCs w:val="24"/>
        </w:rPr>
        <w:t>.</w:t>
      </w:r>
    </w:p>
    <w:p w:rsidR="000C200B" w:rsidRPr="00FF3F16" w:rsidRDefault="000C200B" w:rsidP="008B1FF0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Za vrijeme obavljanja opskrbe u pješačkoj zoni u vozilu se mora nalaziti:</w:t>
      </w:r>
    </w:p>
    <w:p w:rsidR="000C200B" w:rsidRPr="00FF3F16" w:rsidRDefault="000C200B" w:rsidP="008B1FF0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- prijevoznički dokument (dostavnica, otpremnica, teretni list ili slično) s istaknutom </w:t>
      </w:r>
      <w:r w:rsidR="008B1FF0">
        <w:rPr>
          <w:color w:val="auto"/>
          <w:szCs w:val="24"/>
        </w:rPr>
        <w:t>adresom na koju se vrši dostava,</w:t>
      </w:r>
    </w:p>
    <w:p w:rsidR="000C200B" w:rsidRPr="00FF3F16" w:rsidRDefault="000C200B" w:rsidP="008B1FF0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- dozvola za prometovanje vozila u pješačkoj zoni koja mora biti istaknuta na prednjem staklu s unutarnje desne strane vozila.</w:t>
      </w:r>
    </w:p>
    <w:p w:rsidR="000A4B74" w:rsidRDefault="000A4B74" w:rsidP="0070089C">
      <w:pPr>
        <w:rPr>
          <w:color w:val="auto"/>
          <w:szCs w:val="24"/>
        </w:rPr>
      </w:pP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</w:t>
      </w:r>
      <w:r w:rsidR="00C6201A" w:rsidRPr="00FF3F16">
        <w:rPr>
          <w:b/>
          <w:color w:val="auto"/>
          <w:szCs w:val="24"/>
        </w:rPr>
        <w:t>3</w:t>
      </w:r>
      <w:r w:rsidRPr="00FF3F16">
        <w:rPr>
          <w:b/>
          <w:color w:val="auto"/>
          <w:szCs w:val="24"/>
        </w:rPr>
        <w:t>.</w:t>
      </w:r>
    </w:p>
    <w:p w:rsidR="000C200B" w:rsidRPr="00FF3F16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U pješačkoj zoni zabranjuje se prometovanje vozilima opskrbe kojima najveća dopuštena masa prelazi 3,5 tone.</w:t>
      </w:r>
    </w:p>
    <w:p w:rsidR="000C200B" w:rsidRPr="00FF3F16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Iznimno, vozila opskrbe iz stavka 1. ovoga članka mogu prometovati u pješačkoj zoni na temelju dozvole za prometovanje motornih vozila koju</w:t>
      </w:r>
      <w:r w:rsidR="00973561" w:rsidRPr="00FF3F16">
        <w:rPr>
          <w:color w:val="auto"/>
          <w:szCs w:val="24"/>
        </w:rPr>
        <w:t xml:space="preserve"> na zahtjev </w:t>
      </w:r>
      <w:r w:rsidRPr="00FF3F16">
        <w:rPr>
          <w:color w:val="auto"/>
          <w:szCs w:val="24"/>
        </w:rPr>
        <w:t>izdaje gradsko upravno tijelo nadležno za promet.</w:t>
      </w:r>
    </w:p>
    <w:p w:rsidR="000C200B" w:rsidRPr="00D1275B" w:rsidRDefault="000C200B" w:rsidP="00810F28">
      <w:pPr>
        <w:jc w:val="center"/>
        <w:rPr>
          <w:b/>
          <w:color w:val="auto"/>
          <w:szCs w:val="24"/>
        </w:rPr>
      </w:pPr>
      <w:r w:rsidRPr="00D1275B">
        <w:rPr>
          <w:b/>
          <w:color w:val="auto"/>
          <w:szCs w:val="24"/>
        </w:rPr>
        <w:t>Članak 1</w:t>
      </w:r>
      <w:r w:rsidR="00C6201A" w:rsidRPr="00D1275B">
        <w:rPr>
          <w:b/>
          <w:color w:val="auto"/>
          <w:szCs w:val="24"/>
        </w:rPr>
        <w:t>4</w:t>
      </w:r>
      <w:r w:rsidRPr="00D1275B">
        <w:rPr>
          <w:b/>
          <w:color w:val="auto"/>
          <w:szCs w:val="24"/>
        </w:rPr>
        <w:t>.</w:t>
      </w:r>
    </w:p>
    <w:p w:rsidR="000C200B" w:rsidRPr="00D1275B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D1275B">
        <w:rPr>
          <w:color w:val="auto"/>
          <w:szCs w:val="24"/>
        </w:rPr>
        <w:t xml:space="preserve">Opskrba u pješačkoj zoni obavlja se na način da za slobodan prolaz pješaka i drugih vozila mora ostati najmanje 4 m </w:t>
      </w:r>
      <w:r w:rsidR="00F44485" w:rsidRPr="00D1275B">
        <w:rPr>
          <w:color w:val="auto"/>
          <w:szCs w:val="24"/>
        </w:rPr>
        <w:t xml:space="preserve">i </w:t>
      </w:r>
      <w:r w:rsidRPr="00D1275B">
        <w:rPr>
          <w:color w:val="auto"/>
          <w:szCs w:val="24"/>
        </w:rPr>
        <w:t xml:space="preserve">opskrbna vozila ne smiju biti zaustavljena ili parkirana suprotno odredbama zakona kojima se </w:t>
      </w:r>
      <w:r w:rsidR="00602024" w:rsidRPr="00D1275B">
        <w:rPr>
          <w:color w:val="auto"/>
          <w:szCs w:val="24"/>
        </w:rPr>
        <w:t xml:space="preserve">uređuje </w:t>
      </w:r>
      <w:r w:rsidRPr="00D1275B">
        <w:rPr>
          <w:color w:val="auto"/>
          <w:szCs w:val="24"/>
        </w:rPr>
        <w:t>sigurnost cestovnog prometa.</w:t>
      </w:r>
    </w:p>
    <w:p w:rsidR="000C200B" w:rsidRPr="00F44485" w:rsidRDefault="000C200B" w:rsidP="006D1C89">
      <w:pPr>
        <w:spacing w:after="0"/>
        <w:ind w:firstLine="708"/>
        <w:jc w:val="both"/>
        <w:rPr>
          <w:color w:val="auto"/>
          <w:szCs w:val="24"/>
        </w:rPr>
      </w:pPr>
      <w:r w:rsidRPr="00D1275B">
        <w:rPr>
          <w:color w:val="auto"/>
          <w:szCs w:val="24"/>
        </w:rPr>
        <w:t xml:space="preserve">Vozila opskrbe mogu se zadržavati na javnoprometnim površinama samo za vrijeme </w:t>
      </w:r>
      <w:r w:rsidR="00973561" w:rsidRPr="00D1275B">
        <w:rPr>
          <w:color w:val="auto"/>
          <w:szCs w:val="24"/>
        </w:rPr>
        <w:t xml:space="preserve"> </w:t>
      </w:r>
      <w:r w:rsidRPr="00D1275B">
        <w:rPr>
          <w:color w:val="auto"/>
          <w:szCs w:val="24"/>
        </w:rPr>
        <w:t>obavljanj</w:t>
      </w:r>
      <w:r w:rsidR="00F44485" w:rsidRPr="00D1275B">
        <w:rPr>
          <w:color w:val="auto"/>
          <w:szCs w:val="24"/>
        </w:rPr>
        <w:t>a</w:t>
      </w:r>
      <w:r w:rsidRPr="00D1275B">
        <w:rPr>
          <w:color w:val="auto"/>
          <w:szCs w:val="24"/>
        </w:rPr>
        <w:t xml:space="preserve"> opskrbe.</w:t>
      </w:r>
    </w:p>
    <w:p w:rsidR="000C200B" w:rsidRPr="00FF3F16" w:rsidRDefault="00C6201A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15</w:t>
      </w:r>
      <w:r w:rsidR="000C200B" w:rsidRPr="00FF3F16">
        <w:rPr>
          <w:b/>
          <w:color w:val="auto"/>
          <w:szCs w:val="24"/>
        </w:rPr>
        <w:t>.</w:t>
      </w:r>
    </w:p>
    <w:p w:rsidR="000C200B" w:rsidRDefault="000C200B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>Ulazak u pješačku zonu i prometovanje motornih vozila u pješačkoj zoni mora se obavljati prema opisu kretanja određenom u dozvoli za prometovanje vozila.</w:t>
      </w:r>
    </w:p>
    <w:p w:rsidR="000C200B" w:rsidRPr="00FF3F16" w:rsidRDefault="000C200B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</w:t>
      </w:r>
      <w:r w:rsidR="00C6201A" w:rsidRPr="00FF3F16">
        <w:rPr>
          <w:b/>
          <w:color w:val="auto"/>
          <w:szCs w:val="24"/>
        </w:rPr>
        <w:t>6</w:t>
      </w:r>
      <w:r w:rsidRPr="00FF3F16">
        <w:rPr>
          <w:b/>
          <w:color w:val="auto"/>
          <w:szCs w:val="24"/>
        </w:rPr>
        <w:t>.</w:t>
      </w:r>
    </w:p>
    <w:p w:rsidR="000C200B" w:rsidRDefault="000C200B" w:rsidP="00810F28">
      <w:pPr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Zabrana prometovanja vozila u pješačkoj zoni ne odnosi se na vozila kojima se obavlja komunalna djelatnost, vozila pod pratnjom i vozila s pravom prednosti prolaska. </w:t>
      </w:r>
    </w:p>
    <w:p w:rsidR="00D92382" w:rsidRDefault="00D92382" w:rsidP="00810F28">
      <w:pPr>
        <w:ind w:firstLine="708"/>
        <w:jc w:val="both"/>
        <w:rPr>
          <w:color w:val="auto"/>
          <w:szCs w:val="24"/>
        </w:rPr>
      </w:pPr>
    </w:p>
    <w:p w:rsidR="006D1C89" w:rsidRPr="00FF3F16" w:rsidRDefault="006D1C89" w:rsidP="00810F28">
      <w:pPr>
        <w:ind w:firstLine="708"/>
        <w:jc w:val="both"/>
        <w:rPr>
          <w:color w:val="auto"/>
          <w:szCs w:val="24"/>
        </w:rPr>
      </w:pPr>
    </w:p>
    <w:p w:rsidR="000C200B" w:rsidRPr="00FF3F16" w:rsidRDefault="00C6201A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lastRenderedPageBreak/>
        <w:t>Članak 17</w:t>
      </w:r>
      <w:r w:rsidR="000C200B" w:rsidRPr="00FF3F16">
        <w:rPr>
          <w:b/>
          <w:color w:val="auto"/>
          <w:szCs w:val="24"/>
        </w:rPr>
        <w:t>.</w:t>
      </w:r>
    </w:p>
    <w:p w:rsidR="000C200B" w:rsidRDefault="00810F28" w:rsidP="0070089C">
      <w:pPr>
        <w:rPr>
          <w:color w:val="auto"/>
          <w:szCs w:val="24"/>
        </w:rPr>
      </w:pPr>
      <w:r w:rsidRPr="00FF3F16">
        <w:rPr>
          <w:color w:val="auto"/>
          <w:szCs w:val="24"/>
        </w:rPr>
        <w:tab/>
      </w:r>
      <w:r w:rsidR="000C200B" w:rsidRPr="00FF3F16">
        <w:rPr>
          <w:color w:val="auto"/>
          <w:szCs w:val="24"/>
        </w:rPr>
        <w:t>R</w:t>
      </w:r>
      <w:r w:rsidR="00C6201A" w:rsidRPr="00FF3F16">
        <w:rPr>
          <w:color w:val="auto"/>
          <w:szCs w:val="24"/>
        </w:rPr>
        <w:t xml:space="preserve">adi provođenja ove naredbe </w:t>
      </w:r>
      <w:r w:rsidR="000C200B" w:rsidRPr="00FF3F16">
        <w:rPr>
          <w:color w:val="auto"/>
          <w:szCs w:val="24"/>
        </w:rPr>
        <w:t>postavlj</w:t>
      </w:r>
      <w:r w:rsidR="00C6201A" w:rsidRPr="00FF3F16">
        <w:rPr>
          <w:color w:val="auto"/>
          <w:szCs w:val="24"/>
        </w:rPr>
        <w:t>aju se</w:t>
      </w:r>
      <w:r w:rsidR="000C200B" w:rsidRPr="00FF3F16">
        <w:rPr>
          <w:color w:val="auto"/>
          <w:szCs w:val="24"/>
        </w:rPr>
        <w:t xml:space="preserve"> odgovarajući prometni znakovi.</w:t>
      </w:r>
    </w:p>
    <w:p w:rsidR="000C200B" w:rsidRPr="00FF3F16" w:rsidRDefault="00C6201A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18</w:t>
      </w:r>
      <w:r w:rsidR="000C200B" w:rsidRPr="00FF3F16">
        <w:rPr>
          <w:b/>
          <w:color w:val="auto"/>
          <w:szCs w:val="24"/>
        </w:rPr>
        <w:t>.</w:t>
      </w:r>
    </w:p>
    <w:p w:rsidR="00F44485" w:rsidRPr="00FF3F16" w:rsidRDefault="000C200B" w:rsidP="00F44485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Postupci započeti do stupanja na snagu ove naredbe nastavit će se i dovršiti prema odredbama </w:t>
      </w:r>
      <w:r w:rsidR="00DB36E5">
        <w:rPr>
          <w:color w:val="auto"/>
          <w:szCs w:val="24"/>
        </w:rPr>
        <w:t>Naredbe</w:t>
      </w:r>
      <w:r w:rsidR="00F44485" w:rsidRPr="00FF3F16">
        <w:rPr>
          <w:color w:val="auto"/>
          <w:szCs w:val="24"/>
        </w:rPr>
        <w:t xml:space="preserve"> o uvjetima prometovanja vozila u središnjem dijelu Grada Zagreba (Službeni glasnik Grada Zagreba 21/15, 7/16, 22/17, 2/18 i 12/18).</w:t>
      </w:r>
    </w:p>
    <w:p w:rsidR="0009400F" w:rsidRDefault="0009400F" w:rsidP="00810F28">
      <w:pPr>
        <w:jc w:val="center"/>
        <w:rPr>
          <w:b/>
          <w:color w:val="auto"/>
          <w:szCs w:val="24"/>
        </w:rPr>
      </w:pPr>
    </w:p>
    <w:p w:rsidR="000C200B" w:rsidRDefault="000C200B" w:rsidP="00810F28">
      <w:pPr>
        <w:jc w:val="center"/>
        <w:rPr>
          <w:b/>
          <w:color w:val="auto"/>
          <w:szCs w:val="24"/>
        </w:rPr>
      </w:pPr>
      <w:bookmarkStart w:id="6" w:name="_GoBack"/>
      <w:bookmarkEnd w:id="6"/>
      <w:r w:rsidRPr="00FF3F16">
        <w:rPr>
          <w:b/>
          <w:color w:val="auto"/>
          <w:szCs w:val="24"/>
        </w:rPr>
        <w:t>Članak 1</w:t>
      </w:r>
      <w:r w:rsidR="00C6201A" w:rsidRPr="00FF3F16">
        <w:rPr>
          <w:b/>
          <w:color w:val="auto"/>
          <w:szCs w:val="24"/>
        </w:rPr>
        <w:t>9</w:t>
      </w:r>
      <w:r w:rsidRPr="00FF3F16">
        <w:rPr>
          <w:b/>
          <w:color w:val="auto"/>
          <w:szCs w:val="24"/>
        </w:rPr>
        <w:t>.</w:t>
      </w:r>
    </w:p>
    <w:p w:rsidR="000C200B" w:rsidRPr="00FF3F16" w:rsidRDefault="000C200B" w:rsidP="009A4845">
      <w:pPr>
        <w:spacing w:after="0"/>
        <w:ind w:firstLine="708"/>
        <w:jc w:val="both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Stupanjem na snagu ove naredbe prestaje važiti Naredba </w:t>
      </w:r>
      <w:r w:rsidR="009A4845" w:rsidRPr="00FF3F16">
        <w:rPr>
          <w:color w:val="auto"/>
          <w:szCs w:val="24"/>
        </w:rPr>
        <w:t xml:space="preserve">o uvjetima prometovanja vozila u središnjem dijelu Grada Zagreba (Službeni glasnik Grada Zagreba </w:t>
      </w:r>
      <w:r w:rsidRPr="00FF3F16">
        <w:rPr>
          <w:color w:val="auto"/>
          <w:szCs w:val="24"/>
        </w:rPr>
        <w:t>21</w:t>
      </w:r>
      <w:r w:rsidR="00EC560C" w:rsidRPr="00FF3F16">
        <w:rPr>
          <w:color w:val="auto"/>
          <w:szCs w:val="24"/>
        </w:rPr>
        <w:t>/15, 7/16, 22/17, 2/18 i 12/18).</w:t>
      </w:r>
    </w:p>
    <w:p w:rsidR="000C200B" w:rsidRPr="00FF3F16" w:rsidRDefault="00C6201A" w:rsidP="00810F28">
      <w:pPr>
        <w:jc w:val="center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>Članak 20</w:t>
      </w:r>
      <w:r w:rsidR="000C200B" w:rsidRPr="00FF3F16">
        <w:rPr>
          <w:b/>
          <w:color w:val="auto"/>
          <w:szCs w:val="24"/>
        </w:rPr>
        <w:t>.</w:t>
      </w:r>
    </w:p>
    <w:p w:rsidR="000C200B" w:rsidRPr="00FF3F16" w:rsidRDefault="000C200B" w:rsidP="00810F28">
      <w:pPr>
        <w:ind w:firstLine="708"/>
        <w:rPr>
          <w:color w:val="auto"/>
          <w:szCs w:val="24"/>
        </w:rPr>
      </w:pPr>
      <w:r w:rsidRPr="00FF3F16">
        <w:rPr>
          <w:color w:val="auto"/>
          <w:szCs w:val="24"/>
        </w:rPr>
        <w:t>Ova naredba stupa na snagu osmoga dana od dana objave u Službenom glasniku Grada Zagreba.</w:t>
      </w:r>
    </w:p>
    <w:p w:rsidR="00810F28" w:rsidRPr="00FF3F16" w:rsidRDefault="00810F28" w:rsidP="00810F28">
      <w:pPr>
        <w:spacing w:after="0"/>
        <w:rPr>
          <w:color w:val="auto"/>
          <w:szCs w:val="24"/>
        </w:rPr>
      </w:pPr>
    </w:p>
    <w:p w:rsidR="000C200B" w:rsidRPr="00FF3F16" w:rsidRDefault="000C200B" w:rsidP="00810F28">
      <w:pPr>
        <w:spacing w:after="0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KLASA: </w:t>
      </w:r>
    </w:p>
    <w:p w:rsidR="000C200B" w:rsidRPr="00FF3F16" w:rsidRDefault="000C200B" w:rsidP="00810F28">
      <w:pPr>
        <w:spacing w:after="0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URBROJ: </w:t>
      </w:r>
    </w:p>
    <w:p w:rsidR="000C200B" w:rsidRPr="00FF3F16" w:rsidRDefault="000C200B" w:rsidP="00810F28">
      <w:pPr>
        <w:spacing w:after="0"/>
        <w:rPr>
          <w:color w:val="auto"/>
          <w:szCs w:val="24"/>
        </w:rPr>
      </w:pPr>
      <w:r w:rsidRPr="00FF3F16">
        <w:rPr>
          <w:color w:val="auto"/>
          <w:szCs w:val="24"/>
        </w:rPr>
        <w:t xml:space="preserve">Zagreb, </w:t>
      </w:r>
    </w:p>
    <w:p w:rsidR="000C200B" w:rsidRPr="00FF3F16" w:rsidRDefault="000C200B" w:rsidP="0070089C">
      <w:pPr>
        <w:rPr>
          <w:color w:val="auto"/>
          <w:szCs w:val="24"/>
        </w:rPr>
      </w:pPr>
    </w:p>
    <w:p w:rsidR="00810F28" w:rsidRPr="00FF3F16" w:rsidRDefault="00810F28" w:rsidP="00810F28">
      <w:pPr>
        <w:spacing w:after="0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  <w:t xml:space="preserve">                                          GRADONAČELNIK </w:t>
      </w:r>
    </w:p>
    <w:p w:rsidR="00810F28" w:rsidRPr="00FF3F16" w:rsidRDefault="00810F28" w:rsidP="00810F28">
      <w:pPr>
        <w:spacing w:after="0"/>
        <w:rPr>
          <w:b/>
          <w:color w:val="auto"/>
          <w:szCs w:val="24"/>
        </w:rPr>
      </w:pPr>
      <w:r w:rsidRPr="00FF3F16">
        <w:rPr>
          <w:b/>
          <w:color w:val="auto"/>
          <w:szCs w:val="24"/>
        </w:rPr>
        <w:t xml:space="preserve">                                                                                                     GRADA ZAGREBA</w:t>
      </w:r>
    </w:p>
    <w:p w:rsidR="00810F28" w:rsidRPr="00FF3F16" w:rsidRDefault="00810F28" w:rsidP="00810F28">
      <w:pPr>
        <w:spacing w:after="0"/>
        <w:rPr>
          <w:b/>
          <w:color w:val="auto"/>
          <w:szCs w:val="24"/>
        </w:rPr>
      </w:pPr>
    </w:p>
    <w:p w:rsidR="00810F28" w:rsidRPr="00FF3F16" w:rsidRDefault="00810F28" w:rsidP="00810F28">
      <w:pPr>
        <w:spacing w:after="0"/>
        <w:rPr>
          <w:color w:val="auto"/>
          <w:szCs w:val="24"/>
        </w:rPr>
      </w:pP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</w:r>
      <w:r w:rsidRPr="00FF3F16">
        <w:rPr>
          <w:b/>
          <w:color w:val="auto"/>
          <w:szCs w:val="24"/>
        </w:rPr>
        <w:tab/>
        <w:t xml:space="preserve">              Milan Bandić, dipl. politolog</w:t>
      </w:r>
      <w:r w:rsidRPr="00FF3F16">
        <w:rPr>
          <w:color w:val="auto"/>
          <w:szCs w:val="24"/>
        </w:rPr>
        <w:tab/>
      </w:r>
    </w:p>
    <w:p w:rsidR="000C200B" w:rsidRPr="00FF3F16" w:rsidRDefault="000C200B" w:rsidP="0070089C">
      <w:pPr>
        <w:rPr>
          <w:color w:val="auto"/>
          <w:szCs w:val="24"/>
        </w:rPr>
      </w:pPr>
    </w:p>
    <w:p w:rsidR="000C200B" w:rsidRPr="00FF3F16" w:rsidRDefault="000C200B" w:rsidP="0070089C">
      <w:pPr>
        <w:rPr>
          <w:color w:val="auto"/>
          <w:szCs w:val="24"/>
        </w:rPr>
      </w:pPr>
    </w:p>
    <w:p w:rsidR="000C200B" w:rsidRPr="00FF3F16" w:rsidRDefault="000C200B" w:rsidP="0070089C">
      <w:pPr>
        <w:rPr>
          <w:color w:val="auto"/>
          <w:szCs w:val="24"/>
        </w:rPr>
      </w:pPr>
    </w:p>
    <w:p w:rsidR="000C200B" w:rsidRPr="00FF3F16" w:rsidRDefault="000C200B" w:rsidP="0070089C">
      <w:pPr>
        <w:rPr>
          <w:color w:val="auto"/>
          <w:szCs w:val="24"/>
        </w:rPr>
      </w:pPr>
    </w:p>
    <w:sectPr w:rsidR="000C200B" w:rsidRPr="00FF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0B"/>
    <w:rsid w:val="0002112F"/>
    <w:rsid w:val="0009400F"/>
    <w:rsid w:val="000A4B74"/>
    <w:rsid w:val="000C200B"/>
    <w:rsid w:val="000F2E83"/>
    <w:rsid w:val="00190B88"/>
    <w:rsid w:val="00251AB5"/>
    <w:rsid w:val="00270F3D"/>
    <w:rsid w:val="003D13F0"/>
    <w:rsid w:val="004C1E6D"/>
    <w:rsid w:val="004D14DE"/>
    <w:rsid w:val="00602024"/>
    <w:rsid w:val="006D1C89"/>
    <w:rsid w:val="0070089C"/>
    <w:rsid w:val="007B250F"/>
    <w:rsid w:val="00810F28"/>
    <w:rsid w:val="008B1FF0"/>
    <w:rsid w:val="008C7D1E"/>
    <w:rsid w:val="009013F1"/>
    <w:rsid w:val="00953A7E"/>
    <w:rsid w:val="00960DA8"/>
    <w:rsid w:val="00973561"/>
    <w:rsid w:val="009A4845"/>
    <w:rsid w:val="00B33F22"/>
    <w:rsid w:val="00BA312B"/>
    <w:rsid w:val="00BC3B3A"/>
    <w:rsid w:val="00BC5010"/>
    <w:rsid w:val="00C11288"/>
    <w:rsid w:val="00C12B02"/>
    <w:rsid w:val="00C6201A"/>
    <w:rsid w:val="00CC301A"/>
    <w:rsid w:val="00D026F5"/>
    <w:rsid w:val="00D1275B"/>
    <w:rsid w:val="00D64D9C"/>
    <w:rsid w:val="00D7572F"/>
    <w:rsid w:val="00D912CA"/>
    <w:rsid w:val="00D92382"/>
    <w:rsid w:val="00DB36E5"/>
    <w:rsid w:val="00E70B5C"/>
    <w:rsid w:val="00EC560C"/>
    <w:rsid w:val="00EF6DA1"/>
    <w:rsid w:val="00F41A57"/>
    <w:rsid w:val="00F44485"/>
    <w:rsid w:val="00FA036D"/>
    <w:rsid w:val="00FD0371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1C3C"/>
  <w15:chartTrackingRefBased/>
  <w15:docId w15:val="{47A2FE51-33C8-4B74-9092-5315D2F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00B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F247-3979-4E1B-80B9-009BB828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29</cp:revision>
  <cp:lastPrinted>2019-05-20T12:13:00Z</cp:lastPrinted>
  <dcterms:created xsi:type="dcterms:W3CDTF">2019-03-27T12:32:00Z</dcterms:created>
  <dcterms:modified xsi:type="dcterms:W3CDTF">2019-05-20T12:13:00Z</dcterms:modified>
</cp:coreProperties>
</file>